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32D28" w14:textId="600B854C" w:rsidR="0081260B" w:rsidRPr="0081260B" w:rsidRDefault="0081260B" w:rsidP="0081260B">
      <w:pPr>
        <w:rPr>
          <w:b/>
          <w:bCs/>
          <w:sz w:val="24"/>
          <w:szCs w:val="24"/>
        </w:rPr>
      </w:pPr>
      <w:r w:rsidRPr="0081260B">
        <w:rPr>
          <w:b/>
          <w:bCs/>
          <w:sz w:val="24"/>
          <w:szCs w:val="24"/>
        </w:rPr>
        <w:t>Email from Richard Thomas, Director of Insights, Engagement and Communication at Swansea Bay University Health Board on 6 December 2023 to Gwenan Roberts Committee Secretary EASC:</w:t>
      </w:r>
    </w:p>
    <w:p w14:paraId="4749CD6F" w14:textId="77777777" w:rsidR="0081260B" w:rsidRDefault="0081260B" w:rsidP="0081260B">
      <w:pPr>
        <w:rPr>
          <w:sz w:val="24"/>
          <w:szCs w:val="24"/>
        </w:rPr>
      </w:pPr>
    </w:p>
    <w:p w14:paraId="33D1E4D0" w14:textId="2F15A622" w:rsidR="0081260B" w:rsidRDefault="0081260B" w:rsidP="0081260B">
      <w:pPr>
        <w:rPr>
          <w:sz w:val="24"/>
          <w:szCs w:val="24"/>
        </w:rPr>
      </w:pPr>
      <w:r>
        <w:rPr>
          <w:sz w:val="24"/>
          <w:szCs w:val="24"/>
        </w:rPr>
        <w:t>Our main concerns are that:</w:t>
      </w:r>
    </w:p>
    <w:p w14:paraId="1643DC54" w14:textId="77777777" w:rsidR="0081260B" w:rsidRDefault="0081260B" w:rsidP="0081260B">
      <w:pPr>
        <w:numPr>
          <w:ilvl w:val="0"/>
          <w:numId w:val="1"/>
        </w:numPr>
        <w:jc w:val="both"/>
        <w:rPr>
          <w:rFonts w:eastAsia="Times New Roman"/>
          <w:sz w:val="24"/>
          <w:szCs w:val="24"/>
        </w:rPr>
      </w:pPr>
      <w:r>
        <w:rPr>
          <w:rFonts w:eastAsia="Times New Roman"/>
          <w:sz w:val="24"/>
          <w:szCs w:val="24"/>
        </w:rPr>
        <w:t>There is confusion in the range of documentation over the purpose of Phase 2 of the engagement – in different documents it says it is to check that feedback from Phase 1 has been interpreted correctly, and in others that Phase 2 responses will be used to inform the decision which will be recommended to WHSSC.</w:t>
      </w:r>
    </w:p>
    <w:p w14:paraId="4468480D" w14:textId="77777777" w:rsidR="0081260B" w:rsidRDefault="0081260B" w:rsidP="0081260B">
      <w:pPr>
        <w:numPr>
          <w:ilvl w:val="0"/>
          <w:numId w:val="1"/>
        </w:numPr>
        <w:jc w:val="both"/>
        <w:rPr>
          <w:rFonts w:eastAsia="Times New Roman"/>
          <w:sz w:val="24"/>
          <w:szCs w:val="24"/>
        </w:rPr>
      </w:pPr>
      <w:r>
        <w:rPr>
          <w:rFonts w:eastAsia="Times New Roman"/>
          <w:sz w:val="24"/>
          <w:szCs w:val="24"/>
        </w:rPr>
        <w:t>Whilst there is lots of information and data in the range of documents available for the engagement, the EIA was not included from the outset, and is not referenced as part of the engagement.  Normal practice is that a Stage 1 EIA is included at the start of the process and then updated as feedback around equality impacts are picked up through the engagement process and reissued as a Stage 2 EIA.  The delay in making this information available negates this happening and the EIA not being referenced in public meetings or the survey as something for people to respond to and as no equality data has been collected as part of the surveys / responses / public meetings there is no evidence to demonstrate that equality groups have been appropriately engaged with and their views taken on board.</w:t>
      </w:r>
    </w:p>
    <w:p w14:paraId="6FA0E3C6" w14:textId="77777777" w:rsidR="0081260B" w:rsidRDefault="0081260B" w:rsidP="0081260B">
      <w:pPr>
        <w:numPr>
          <w:ilvl w:val="0"/>
          <w:numId w:val="1"/>
        </w:numPr>
        <w:jc w:val="both"/>
        <w:rPr>
          <w:rFonts w:eastAsia="Times New Roman"/>
          <w:sz w:val="24"/>
          <w:szCs w:val="24"/>
        </w:rPr>
      </w:pPr>
      <w:r>
        <w:rPr>
          <w:rFonts w:eastAsia="Times New Roman"/>
          <w:sz w:val="24"/>
          <w:szCs w:val="24"/>
        </w:rPr>
        <w:t>Assumptions have been made about where the impacts of the proposed changes will occur, in spite of there being a number of options, and equal opportunity has not been afforded to all populations to comment on the proposals as public meetings in person have only been held in Powys and Betsi, meaning that people who aren’t digitally enabled in all other parts of Wales have not had the opportunity to input.</w:t>
      </w:r>
    </w:p>
    <w:p w14:paraId="0A4F26F5" w14:textId="77777777" w:rsidR="0081260B" w:rsidRDefault="0081260B" w:rsidP="0081260B">
      <w:pPr>
        <w:numPr>
          <w:ilvl w:val="0"/>
          <w:numId w:val="1"/>
        </w:numPr>
        <w:jc w:val="both"/>
        <w:rPr>
          <w:rFonts w:eastAsia="Times New Roman"/>
          <w:sz w:val="24"/>
          <w:szCs w:val="24"/>
        </w:rPr>
      </w:pPr>
      <w:proofErr w:type="gramStart"/>
      <w:r>
        <w:rPr>
          <w:rFonts w:eastAsia="Times New Roman"/>
          <w:sz w:val="24"/>
          <w:szCs w:val="24"/>
        </w:rPr>
        <w:t>Finally</w:t>
      </w:r>
      <w:proofErr w:type="gramEnd"/>
      <w:r>
        <w:rPr>
          <w:rFonts w:eastAsia="Times New Roman"/>
          <w:sz w:val="24"/>
          <w:szCs w:val="24"/>
        </w:rPr>
        <w:t xml:space="preserve"> the options are not clearly outlined, along with pros and cons and costs, which would be required in order for the public to make informed choices about these options, guidance makes it clear that financial implications should be clearly outlined.</w:t>
      </w:r>
    </w:p>
    <w:p w14:paraId="19963A95" w14:textId="77777777" w:rsidR="0081260B" w:rsidRDefault="0081260B" w:rsidP="0081260B">
      <w:pPr>
        <w:jc w:val="both"/>
        <w:rPr>
          <w:sz w:val="24"/>
          <w:szCs w:val="24"/>
        </w:rPr>
      </w:pPr>
    </w:p>
    <w:p w14:paraId="335214BC" w14:textId="77777777" w:rsidR="0081260B" w:rsidRDefault="0081260B" w:rsidP="0081260B">
      <w:pPr>
        <w:jc w:val="both"/>
        <w:rPr>
          <w:sz w:val="24"/>
          <w:szCs w:val="24"/>
        </w:rPr>
      </w:pPr>
      <w:r>
        <w:rPr>
          <w:sz w:val="24"/>
          <w:szCs w:val="24"/>
        </w:rPr>
        <w:t xml:space="preserve">As a result, there is a strong risk that Gunning Principle 2 which states that </w:t>
      </w:r>
      <w:r>
        <w:rPr>
          <w:i/>
          <w:iCs/>
          <w:sz w:val="24"/>
          <w:szCs w:val="24"/>
        </w:rPr>
        <w:t xml:space="preserve">sufficient reasons must be put forward for any proposal to permit ‘intelligent consideration’ </w:t>
      </w:r>
      <w:r>
        <w:rPr>
          <w:sz w:val="24"/>
          <w:szCs w:val="24"/>
        </w:rPr>
        <w:t xml:space="preserve">has not been met because of the way the data is presented, together with the lack of explanation of the pros and cons of the potential options and the omission of cost implications.  It could be argued, therefore, that it is not possible for respondents to consider and provide a response to the engagement on this basis. </w:t>
      </w:r>
    </w:p>
    <w:p w14:paraId="6EF24962" w14:textId="77777777" w:rsidR="0081260B" w:rsidRDefault="0081260B" w:rsidP="0081260B">
      <w:pPr>
        <w:jc w:val="both"/>
        <w:rPr>
          <w:sz w:val="24"/>
          <w:szCs w:val="24"/>
        </w:rPr>
      </w:pPr>
    </w:p>
    <w:p w14:paraId="5FF633AE" w14:textId="77777777" w:rsidR="0081260B" w:rsidRDefault="0081260B" w:rsidP="0081260B">
      <w:pPr>
        <w:jc w:val="both"/>
        <w:rPr>
          <w:sz w:val="24"/>
          <w:szCs w:val="24"/>
        </w:rPr>
      </w:pPr>
      <w:r>
        <w:rPr>
          <w:sz w:val="24"/>
          <w:szCs w:val="24"/>
        </w:rPr>
        <w:t>I hope being clear in this way is helpful and allows us to minimise the risk of challenge at the end of the process.  As I think I said during our meeting, we probably need to go slower in order to go faster rather than go faster and end up going much slower with this.</w:t>
      </w:r>
    </w:p>
    <w:p w14:paraId="1C465F75" w14:textId="77777777" w:rsidR="007432B4" w:rsidRDefault="007432B4"/>
    <w:sectPr w:rsidR="007432B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BE73D8"/>
    <w:multiLevelType w:val="hybridMultilevel"/>
    <w:tmpl w:val="016870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260B"/>
    <w:rsid w:val="00154652"/>
    <w:rsid w:val="002413E3"/>
    <w:rsid w:val="007432B4"/>
    <w:rsid w:val="008126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73136E"/>
  <w15:chartTrackingRefBased/>
  <w15:docId w15:val="{5B16FF39-A0E8-4D23-AF93-0C76C08B25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60B"/>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6214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410</Words>
  <Characters>2340</Characters>
  <Application>Microsoft Office Word</Application>
  <DocSecurity>0</DocSecurity>
  <Lines>19</Lines>
  <Paragraphs>5</Paragraphs>
  <ScaleCrop>false</ScaleCrop>
  <Company>Cwm Taf Morgannwg University Health Board</Company>
  <LinksUpToDate>false</LinksUpToDate>
  <CharactersWithSpaces>2745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dc:creator>
  <cp:keywords/>
  <dc:description/>
  <cp:lastModifiedBy>Gwenan Roberts (CTM UHB - NCCU Corporate)</cp:lastModifiedBy>
  <cp:revision>1</cp:revision>
  <dcterms:created xsi:type="dcterms:W3CDTF">2023-12-18T17:44:00Z</dcterms:created>
  <dcterms:modified xsi:type="dcterms:W3CDTF">2023-12-18T17:47:00Z</dcterms:modified>
</cp:coreProperties>
</file>