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92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608"/>
        <w:gridCol w:w="4690"/>
      </w:tblGrid>
      <w:tr w:rsidR="008E6BE9" w:rsidRPr="00224519" w:rsidTr="00C0354F">
        <w:trPr>
          <w:trHeight w:val="1115"/>
        </w:trPr>
        <w:tc>
          <w:tcPr>
            <w:tcW w:w="4608" w:type="dxa"/>
            <w:shd w:val="clear" w:color="auto" w:fill="auto"/>
          </w:tcPr>
          <w:p w:rsidR="008E6BE9" w:rsidRPr="00A367BA" w:rsidRDefault="008E6BE9" w:rsidP="00C0354F">
            <w:pPr>
              <w:rPr>
                <w:rFonts w:ascii="Verdana" w:hAnsi="Verdana" w:cs="Arial"/>
                <w:sz w:val="24"/>
              </w:rPr>
            </w:pPr>
            <w:r w:rsidRPr="00DD2034">
              <w:rPr>
                <w:rFonts w:ascii="Verdana" w:hAnsi="Verdana" w:cs="Arial"/>
                <w:noProof/>
                <w:sz w:val="24"/>
                <w:lang w:eastAsia="en-GB"/>
              </w:rPr>
              <w:drawing>
                <wp:inline distT="0" distB="0" distL="0" distR="0" wp14:anchorId="6DDD8101" wp14:editId="65AAFC72">
                  <wp:extent cx="2767330" cy="695325"/>
                  <wp:effectExtent l="0" t="0" r="0" b="0"/>
                  <wp:docPr id="6" name="Picture 6"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mergency ambulances se#289"/>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767330" cy="695325"/>
                          </a:xfrm>
                          <a:prstGeom prst="rect">
                            <a:avLst/>
                          </a:prstGeom>
                          <a:noFill/>
                          <a:ln>
                            <a:noFill/>
                          </a:ln>
                        </pic:spPr>
                      </pic:pic>
                    </a:graphicData>
                  </a:graphic>
                </wp:inline>
              </w:drawing>
            </w:r>
          </w:p>
        </w:tc>
        <w:tc>
          <w:tcPr>
            <w:tcW w:w="4690" w:type="dxa"/>
            <w:shd w:val="clear" w:color="auto" w:fill="auto"/>
          </w:tcPr>
          <w:p w:rsidR="008E6BE9" w:rsidRPr="00224519" w:rsidRDefault="008E6BE9" w:rsidP="00C0354F">
            <w:pPr>
              <w:spacing w:before="120"/>
              <w:jc w:val="right"/>
              <w:rPr>
                <w:rFonts w:ascii="Verdana" w:hAnsi="Verdana" w:cs="Arial"/>
                <w:b/>
                <w:sz w:val="24"/>
              </w:rPr>
            </w:pPr>
            <w:r w:rsidRPr="00224519">
              <w:rPr>
                <w:rFonts w:ascii="Verdana" w:hAnsi="Verdana" w:cs="Arial"/>
                <w:b/>
                <w:sz w:val="24"/>
              </w:rPr>
              <w:t>AGENDA ITEM</w:t>
            </w:r>
            <w:r w:rsidR="00226C04" w:rsidRPr="00224519">
              <w:rPr>
                <w:rFonts w:ascii="Verdana" w:hAnsi="Verdana" w:cs="Arial"/>
                <w:b/>
                <w:sz w:val="24"/>
              </w:rPr>
              <w:t xml:space="preserve"> </w:t>
            </w:r>
            <w:r w:rsidR="00224519" w:rsidRPr="00224519">
              <w:rPr>
                <w:rFonts w:ascii="Verdana" w:hAnsi="Verdana" w:cs="Arial"/>
                <w:b/>
                <w:sz w:val="24"/>
              </w:rPr>
              <w:t>3.2.1</w:t>
            </w:r>
            <w:r w:rsidRPr="00224519">
              <w:rPr>
                <w:rFonts w:ascii="Verdana" w:hAnsi="Verdana" w:cs="Arial"/>
                <w:b/>
                <w:sz w:val="24"/>
              </w:rPr>
              <w:t xml:space="preserve"> </w:t>
            </w:r>
          </w:p>
          <w:p w:rsidR="008E6BE9" w:rsidRPr="00224519" w:rsidRDefault="008E6BE9" w:rsidP="00C0354F">
            <w:pPr>
              <w:jc w:val="right"/>
              <w:rPr>
                <w:rFonts w:ascii="Verdana" w:hAnsi="Verdana" w:cs="Arial"/>
                <w:b/>
                <w:sz w:val="24"/>
              </w:rPr>
            </w:pPr>
          </w:p>
          <w:p w:rsidR="008E6BE9" w:rsidRPr="00224519" w:rsidRDefault="00226C04" w:rsidP="007C5A56">
            <w:pPr>
              <w:jc w:val="right"/>
              <w:rPr>
                <w:rFonts w:ascii="Verdana" w:hAnsi="Verdana" w:cs="Arial"/>
                <w:sz w:val="24"/>
              </w:rPr>
            </w:pPr>
            <w:r w:rsidRPr="00224519">
              <w:rPr>
                <w:rFonts w:ascii="Verdana" w:hAnsi="Verdana" w:cs="Arial"/>
                <w:b/>
                <w:sz w:val="24"/>
              </w:rPr>
              <w:t xml:space="preserve"> </w:t>
            </w:r>
            <w:r w:rsidR="007C5A56" w:rsidRPr="00224519">
              <w:rPr>
                <w:rFonts w:ascii="Verdana" w:hAnsi="Verdana" w:cs="Arial"/>
                <w:b/>
                <w:sz w:val="24"/>
              </w:rPr>
              <w:t>28 January</w:t>
            </w:r>
            <w:r w:rsidRPr="00224519">
              <w:rPr>
                <w:rFonts w:ascii="Verdana" w:hAnsi="Verdana" w:cs="Arial"/>
                <w:b/>
                <w:sz w:val="24"/>
              </w:rPr>
              <w:t xml:space="preserve"> </w:t>
            </w:r>
            <w:r w:rsidR="007C5A56" w:rsidRPr="00224519">
              <w:rPr>
                <w:rFonts w:ascii="Verdana" w:hAnsi="Verdana" w:cs="Arial"/>
                <w:b/>
                <w:sz w:val="24"/>
              </w:rPr>
              <w:t>2020</w:t>
            </w:r>
          </w:p>
        </w:tc>
      </w:tr>
    </w:tbl>
    <w:p w:rsidR="008E6BE9" w:rsidRPr="00A367BA" w:rsidRDefault="008E6BE9" w:rsidP="008E6BE9">
      <w:pPr>
        <w:pStyle w:val="Footer"/>
        <w:tabs>
          <w:tab w:val="right" w:pos="9000"/>
        </w:tabs>
        <w:jc w:val="center"/>
        <w:rPr>
          <w:rFonts w:ascii="Verdana" w:hAnsi="Verdana" w:cs="Arial"/>
          <w:b/>
          <w:sz w:val="24"/>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8"/>
      </w:tblGrid>
      <w:tr w:rsidR="008E6BE9" w:rsidRPr="00A367BA" w:rsidTr="00C0354F">
        <w:trPr>
          <w:trHeight w:val="425"/>
        </w:trPr>
        <w:tc>
          <w:tcPr>
            <w:tcW w:w="9288" w:type="dxa"/>
            <w:tcBorders>
              <w:top w:val="single" w:sz="4" w:space="0" w:color="auto"/>
              <w:left w:val="single" w:sz="4" w:space="0" w:color="auto"/>
              <w:bottom w:val="single" w:sz="4" w:space="0" w:color="auto"/>
              <w:right w:val="single" w:sz="4" w:space="0" w:color="auto"/>
            </w:tcBorders>
            <w:shd w:val="clear" w:color="auto" w:fill="E6E6E6"/>
          </w:tcPr>
          <w:p w:rsidR="008E6BE9" w:rsidRPr="00A367BA" w:rsidRDefault="00224519" w:rsidP="00224519">
            <w:pPr>
              <w:jc w:val="center"/>
              <w:rPr>
                <w:rFonts w:ascii="Verdana" w:hAnsi="Verdana" w:cs="Arial"/>
                <w:b/>
                <w:sz w:val="24"/>
              </w:rPr>
            </w:pPr>
            <w:r>
              <w:rPr>
                <w:rFonts w:ascii="Verdana" w:hAnsi="Verdana" w:cs="Arial"/>
                <w:b/>
                <w:sz w:val="24"/>
              </w:rPr>
              <w:t xml:space="preserve">Emergency Ambulance Services Committee </w:t>
            </w:r>
          </w:p>
        </w:tc>
      </w:tr>
      <w:tr w:rsidR="008E6BE9" w:rsidRPr="00A367BA" w:rsidTr="00C0354F">
        <w:trPr>
          <w:trHeight w:val="425"/>
        </w:trPr>
        <w:tc>
          <w:tcPr>
            <w:tcW w:w="9288" w:type="dxa"/>
            <w:tcBorders>
              <w:top w:val="single" w:sz="4" w:space="0" w:color="auto"/>
              <w:left w:val="single" w:sz="4" w:space="0" w:color="auto"/>
              <w:bottom w:val="single" w:sz="4" w:space="0" w:color="auto"/>
              <w:right w:val="single" w:sz="4" w:space="0" w:color="auto"/>
            </w:tcBorders>
            <w:shd w:val="clear" w:color="auto" w:fill="auto"/>
          </w:tcPr>
          <w:p w:rsidR="008E6BE9" w:rsidRPr="00A367BA" w:rsidRDefault="008E6BE9" w:rsidP="00C0354F">
            <w:pPr>
              <w:rPr>
                <w:rFonts w:ascii="Verdana" w:hAnsi="Verdana" w:cs="Arial"/>
                <w:sz w:val="24"/>
              </w:rPr>
            </w:pPr>
          </w:p>
          <w:p w:rsidR="00A21CE0" w:rsidRDefault="00224519" w:rsidP="006F1B7D">
            <w:pPr>
              <w:pStyle w:val="ListParagraph"/>
              <w:ind w:left="29"/>
              <w:jc w:val="center"/>
              <w:rPr>
                <w:rFonts w:ascii="Verdana" w:hAnsi="Verdana" w:cs="Arial"/>
                <w:b/>
                <w:sz w:val="24"/>
                <w:szCs w:val="24"/>
              </w:rPr>
            </w:pPr>
            <w:r w:rsidRPr="00224519">
              <w:rPr>
                <w:rFonts w:ascii="Verdana" w:hAnsi="Verdana" w:cs="Arial"/>
                <w:b/>
                <w:sz w:val="24"/>
                <w:szCs w:val="24"/>
              </w:rPr>
              <w:t>COMMISSIONING INTENTIONS 2019/20 PROGRESS REVIEW</w:t>
            </w:r>
          </w:p>
          <w:p w:rsidR="00224519" w:rsidRPr="00224519" w:rsidRDefault="00224519" w:rsidP="006F1B7D">
            <w:pPr>
              <w:pStyle w:val="ListParagraph"/>
              <w:ind w:left="29"/>
              <w:jc w:val="center"/>
              <w:rPr>
                <w:rFonts w:ascii="Verdana" w:hAnsi="Verdana" w:cs="Arial"/>
                <w:b/>
                <w:sz w:val="24"/>
                <w:szCs w:val="24"/>
              </w:rPr>
            </w:pPr>
          </w:p>
        </w:tc>
      </w:tr>
    </w:tbl>
    <w:p w:rsidR="008E6BE9" w:rsidRPr="00A367BA" w:rsidRDefault="008E6BE9" w:rsidP="008E6BE9">
      <w:pPr>
        <w:pStyle w:val="Footer"/>
        <w:tabs>
          <w:tab w:val="right" w:pos="9000"/>
        </w:tabs>
        <w:jc w:val="center"/>
        <w:rPr>
          <w:rFonts w:ascii="Verdana" w:hAnsi="Verdana" w:cs="Arial"/>
          <w:b/>
          <w:sz w:val="24"/>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8"/>
      </w:tblGrid>
      <w:tr w:rsidR="008E6BE9" w:rsidRPr="001C32CA" w:rsidTr="00C0354F">
        <w:trPr>
          <w:trHeight w:val="413"/>
        </w:trPr>
        <w:tc>
          <w:tcPr>
            <w:tcW w:w="9288" w:type="dxa"/>
            <w:tcBorders>
              <w:top w:val="single" w:sz="4" w:space="0" w:color="auto"/>
              <w:left w:val="single" w:sz="4" w:space="0" w:color="auto"/>
              <w:bottom w:val="single" w:sz="4" w:space="0" w:color="auto"/>
              <w:right w:val="single" w:sz="4" w:space="0" w:color="auto"/>
            </w:tcBorders>
            <w:shd w:val="clear" w:color="auto" w:fill="auto"/>
          </w:tcPr>
          <w:p w:rsidR="008E6BE9" w:rsidRPr="00224519" w:rsidRDefault="008E6BE9" w:rsidP="007C5A56">
            <w:pPr>
              <w:rPr>
                <w:rFonts w:ascii="Verdana" w:hAnsi="Verdana" w:cs="Arial"/>
                <w:sz w:val="24"/>
                <w:szCs w:val="24"/>
              </w:rPr>
            </w:pPr>
            <w:r w:rsidRPr="00224519">
              <w:rPr>
                <w:rFonts w:ascii="Verdana" w:hAnsi="Verdana" w:cs="Arial"/>
                <w:b/>
                <w:bCs/>
                <w:sz w:val="24"/>
                <w:szCs w:val="24"/>
              </w:rPr>
              <w:t xml:space="preserve">Executive Lead: </w:t>
            </w:r>
            <w:r w:rsidR="00526C8B" w:rsidRPr="00224519">
              <w:rPr>
                <w:rFonts w:ascii="Verdana" w:hAnsi="Verdana" w:cs="Arial"/>
                <w:bCs/>
                <w:sz w:val="24"/>
                <w:szCs w:val="24"/>
              </w:rPr>
              <w:t>J</w:t>
            </w:r>
            <w:r w:rsidR="00A21CE0" w:rsidRPr="00224519">
              <w:rPr>
                <w:rFonts w:ascii="Verdana" w:hAnsi="Verdana" w:cs="Arial"/>
                <w:bCs/>
                <w:sz w:val="24"/>
                <w:szCs w:val="24"/>
              </w:rPr>
              <w:t>ason Killens</w:t>
            </w:r>
            <w:r w:rsidR="00B77233" w:rsidRPr="00224519">
              <w:rPr>
                <w:rFonts w:ascii="Verdana" w:hAnsi="Verdana" w:cs="Arial"/>
                <w:bCs/>
                <w:sz w:val="24"/>
                <w:szCs w:val="24"/>
              </w:rPr>
              <w:t>, Chief Executive Officer</w:t>
            </w:r>
            <w:r w:rsidR="0017564E" w:rsidRPr="00224519">
              <w:rPr>
                <w:rFonts w:ascii="Verdana" w:hAnsi="Verdana" w:cs="Arial"/>
                <w:bCs/>
                <w:sz w:val="24"/>
                <w:szCs w:val="24"/>
              </w:rPr>
              <w:t xml:space="preserve"> Welsh Ambulance Service NHS Trust</w:t>
            </w:r>
            <w:r w:rsidR="00B77233" w:rsidRPr="00224519">
              <w:rPr>
                <w:rFonts w:ascii="Verdana" w:hAnsi="Verdana" w:cs="Arial"/>
                <w:bCs/>
                <w:sz w:val="24"/>
                <w:szCs w:val="24"/>
              </w:rPr>
              <w:t xml:space="preserve"> (WAST)</w:t>
            </w:r>
            <w:r w:rsidR="0017564E" w:rsidRPr="00224519">
              <w:rPr>
                <w:rFonts w:ascii="Verdana" w:hAnsi="Verdana" w:cs="Arial"/>
                <w:bCs/>
                <w:sz w:val="24"/>
                <w:szCs w:val="24"/>
              </w:rPr>
              <w:t>.</w:t>
            </w:r>
          </w:p>
        </w:tc>
      </w:tr>
      <w:tr w:rsidR="008E6BE9" w:rsidRPr="001C32CA" w:rsidTr="00C0354F">
        <w:trPr>
          <w:trHeight w:val="425"/>
        </w:trPr>
        <w:tc>
          <w:tcPr>
            <w:tcW w:w="9288" w:type="dxa"/>
            <w:tcBorders>
              <w:top w:val="single" w:sz="4" w:space="0" w:color="auto"/>
              <w:left w:val="single" w:sz="4" w:space="0" w:color="auto"/>
              <w:bottom w:val="single" w:sz="4" w:space="0" w:color="auto"/>
              <w:right w:val="single" w:sz="4" w:space="0" w:color="auto"/>
            </w:tcBorders>
            <w:shd w:val="clear" w:color="auto" w:fill="auto"/>
          </w:tcPr>
          <w:p w:rsidR="008E6BE9" w:rsidRPr="00224519" w:rsidRDefault="008E6BE9" w:rsidP="00F83D1A">
            <w:pPr>
              <w:jc w:val="both"/>
              <w:rPr>
                <w:rFonts w:ascii="Verdana" w:hAnsi="Verdana" w:cs="Arial"/>
                <w:b/>
                <w:bCs/>
                <w:sz w:val="24"/>
                <w:szCs w:val="24"/>
              </w:rPr>
            </w:pPr>
            <w:r w:rsidRPr="00224519">
              <w:rPr>
                <w:rFonts w:ascii="Verdana" w:hAnsi="Verdana" w:cs="Arial"/>
                <w:b/>
                <w:bCs/>
                <w:sz w:val="24"/>
                <w:szCs w:val="24"/>
              </w:rPr>
              <w:t xml:space="preserve">Author: </w:t>
            </w:r>
            <w:r w:rsidR="00226C04" w:rsidRPr="00224519">
              <w:rPr>
                <w:rFonts w:ascii="Verdana" w:hAnsi="Verdana" w:cs="Arial"/>
                <w:bCs/>
                <w:sz w:val="24"/>
                <w:szCs w:val="24"/>
              </w:rPr>
              <w:t>Hugh Bennett, Assistant Director of</w:t>
            </w:r>
            <w:r w:rsidR="00B77233" w:rsidRPr="00224519">
              <w:rPr>
                <w:rFonts w:ascii="Verdana" w:hAnsi="Verdana" w:cs="Arial"/>
                <w:bCs/>
                <w:sz w:val="24"/>
                <w:szCs w:val="24"/>
              </w:rPr>
              <w:t xml:space="preserve"> Commis</w:t>
            </w:r>
            <w:bookmarkStart w:id="0" w:name="_GoBack"/>
            <w:bookmarkEnd w:id="0"/>
            <w:r w:rsidR="00B77233" w:rsidRPr="00224519">
              <w:rPr>
                <w:rFonts w:ascii="Verdana" w:hAnsi="Verdana" w:cs="Arial"/>
                <w:bCs/>
                <w:sz w:val="24"/>
                <w:szCs w:val="24"/>
              </w:rPr>
              <w:t>sioning and Performance (WAST)</w:t>
            </w:r>
          </w:p>
        </w:tc>
      </w:tr>
      <w:tr w:rsidR="008E6BE9" w:rsidRPr="001C32CA" w:rsidTr="00C0354F">
        <w:trPr>
          <w:trHeight w:val="425"/>
        </w:trPr>
        <w:tc>
          <w:tcPr>
            <w:tcW w:w="9288" w:type="dxa"/>
            <w:tcBorders>
              <w:top w:val="single" w:sz="4" w:space="0" w:color="auto"/>
              <w:left w:val="single" w:sz="4" w:space="0" w:color="auto"/>
              <w:bottom w:val="single" w:sz="4" w:space="0" w:color="auto"/>
              <w:right w:val="single" w:sz="4" w:space="0" w:color="auto"/>
            </w:tcBorders>
            <w:shd w:val="clear" w:color="auto" w:fill="auto"/>
          </w:tcPr>
          <w:p w:rsidR="0065327D" w:rsidRPr="00224519" w:rsidRDefault="008E6BE9" w:rsidP="0065327D">
            <w:pPr>
              <w:rPr>
                <w:rFonts w:ascii="Verdana" w:hAnsi="Verdana" w:cs="Arial"/>
                <w:bCs/>
                <w:sz w:val="24"/>
                <w:szCs w:val="24"/>
              </w:rPr>
            </w:pPr>
            <w:r w:rsidRPr="00224519">
              <w:rPr>
                <w:rFonts w:ascii="Verdana" w:hAnsi="Verdana" w:cs="Arial"/>
                <w:b/>
                <w:bCs/>
                <w:sz w:val="24"/>
                <w:szCs w:val="24"/>
              </w:rPr>
              <w:t>Contact Details for further information:</w:t>
            </w:r>
            <w:r w:rsidR="00C424C8" w:rsidRPr="00224519">
              <w:rPr>
                <w:rFonts w:ascii="Verdana" w:hAnsi="Verdana" w:cs="Arial"/>
                <w:b/>
                <w:bCs/>
                <w:sz w:val="24"/>
                <w:szCs w:val="24"/>
              </w:rPr>
              <w:t xml:space="preserve"> </w:t>
            </w:r>
            <w:hyperlink r:id="rId9" w:history="1">
              <w:r w:rsidR="00C424C8" w:rsidRPr="00224519">
                <w:rPr>
                  <w:rStyle w:val="Hyperlink"/>
                  <w:rFonts w:ascii="Verdana" w:hAnsi="Verdana"/>
                  <w:sz w:val="24"/>
                  <w:szCs w:val="24"/>
                </w:rPr>
                <w:t>hugh.bennett2@wales.nhs.uk</w:t>
              </w:r>
            </w:hyperlink>
            <w:r w:rsidR="00C424C8" w:rsidRPr="00224519">
              <w:rPr>
                <w:rFonts w:ascii="Verdana" w:hAnsi="Verdana"/>
                <w:sz w:val="24"/>
                <w:szCs w:val="24"/>
              </w:rPr>
              <w:t xml:space="preserve"> </w:t>
            </w:r>
          </w:p>
          <w:p w:rsidR="008E6BE9" w:rsidRPr="00224519" w:rsidRDefault="0065327D" w:rsidP="00C424C8">
            <w:pPr>
              <w:rPr>
                <w:rFonts w:ascii="Verdana" w:hAnsi="Verdana" w:cs="Arial"/>
                <w:bCs/>
                <w:sz w:val="24"/>
                <w:szCs w:val="24"/>
              </w:rPr>
            </w:pPr>
            <w:r w:rsidRPr="00224519">
              <w:rPr>
                <w:rFonts w:ascii="Verdana" w:hAnsi="Verdana" w:cs="Arial"/>
                <w:sz w:val="24"/>
                <w:szCs w:val="24"/>
              </w:rPr>
              <w:t>Tel:</w:t>
            </w:r>
            <w:r w:rsidR="00C424C8" w:rsidRPr="00224519">
              <w:rPr>
                <w:rFonts w:ascii="Verdana" w:hAnsi="Verdana" w:cs="Arial"/>
                <w:sz w:val="24"/>
                <w:szCs w:val="24"/>
              </w:rPr>
              <w:t xml:space="preserve"> </w:t>
            </w:r>
            <w:r w:rsidR="00C424C8" w:rsidRPr="00224519">
              <w:rPr>
                <w:rFonts w:ascii="Verdana" w:eastAsia="Calibri" w:hAnsi="Verdana"/>
                <w:noProof/>
                <w:sz w:val="24"/>
                <w:szCs w:val="24"/>
                <w:lang w:eastAsia="en-GB"/>
              </w:rPr>
              <w:t>07788 183961</w:t>
            </w:r>
          </w:p>
        </w:tc>
      </w:tr>
    </w:tbl>
    <w:p w:rsidR="008E6BE9" w:rsidRPr="001C32CA" w:rsidRDefault="008E6BE9" w:rsidP="008E6BE9">
      <w:pPr>
        <w:pStyle w:val="Footer"/>
        <w:tabs>
          <w:tab w:val="right" w:pos="9000"/>
        </w:tabs>
        <w:jc w:val="center"/>
        <w:rPr>
          <w:rFonts w:ascii="Verdana" w:hAnsi="Verdana" w:cs="Arial"/>
          <w:b/>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8"/>
      </w:tblGrid>
      <w:tr w:rsidR="008E6BE9" w:rsidRPr="00224519" w:rsidTr="00C0354F">
        <w:trPr>
          <w:trHeight w:val="425"/>
        </w:trPr>
        <w:tc>
          <w:tcPr>
            <w:tcW w:w="9288" w:type="dxa"/>
            <w:tcBorders>
              <w:top w:val="single" w:sz="4" w:space="0" w:color="auto"/>
              <w:left w:val="single" w:sz="4" w:space="0" w:color="auto"/>
              <w:bottom w:val="single" w:sz="4" w:space="0" w:color="auto"/>
              <w:right w:val="single" w:sz="4" w:space="0" w:color="auto"/>
            </w:tcBorders>
            <w:shd w:val="clear" w:color="auto" w:fill="E6E6E6"/>
          </w:tcPr>
          <w:p w:rsidR="008E6BE9" w:rsidRPr="00224519" w:rsidRDefault="008E6BE9" w:rsidP="00A21CE0">
            <w:pPr>
              <w:rPr>
                <w:rFonts w:ascii="Verdana" w:hAnsi="Verdana" w:cs="Arial"/>
                <w:b/>
                <w:sz w:val="24"/>
                <w:szCs w:val="24"/>
              </w:rPr>
            </w:pPr>
            <w:r w:rsidRPr="00224519">
              <w:rPr>
                <w:rFonts w:ascii="Verdana" w:hAnsi="Verdana" w:cs="Arial"/>
                <w:b/>
                <w:sz w:val="24"/>
                <w:szCs w:val="24"/>
              </w:rPr>
              <w:t xml:space="preserve">Purpose of the </w:t>
            </w:r>
            <w:r w:rsidR="00A21CE0" w:rsidRPr="00224519">
              <w:rPr>
                <w:rFonts w:ascii="Verdana" w:hAnsi="Verdana" w:cs="Arial"/>
                <w:b/>
                <w:sz w:val="24"/>
                <w:szCs w:val="24"/>
              </w:rPr>
              <w:t xml:space="preserve">EASC </w:t>
            </w:r>
            <w:r w:rsidRPr="00224519">
              <w:rPr>
                <w:rFonts w:ascii="Verdana" w:hAnsi="Verdana" w:cs="Arial"/>
                <w:b/>
                <w:sz w:val="24"/>
                <w:szCs w:val="24"/>
              </w:rPr>
              <w:t>Report</w:t>
            </w:r>
          </w:p>
        </w:tc>
      </w:tr>
      <w:tr w:rsidR="008E6BE9" w:rsidRPr="00224519" w:rsidTr="00C0354F">
        <w:trPr>
          <w:trHeight w:val="979"/>
        </w:trPr>
        <w:tc>
          <w:tcPr>
            <w:tcW w:w="9288" w:type="dxa"/>
            <w:tcBorders>
              <w:top w:val="single" w:sz="4" w:space="0" w:color="auto"/>
              <w:left w:val="single" w:sz="4" w:space="0" w:color="auto"/>
              <w:bottom w:val="single" w:sz="4" w:space="0" w:color="auto"/>
              <w:right w:val="single" w:sz="4" w:space="0" w:color="auto"/>
            </w:tcBorders>
            <w:shd w:val="clear" w:color="auto" w:fill="auto"/>
          </w:tcPr>
          <w:p w:rsidR="008E6BE9" w:rsidRPr="00224519" w:rsidRDefault="008E6BE9" w:rsidP="007C5A56">
            <w:pPr>
              <w:jc w:val="both"/>
              <w:outlineLvl w:val="0"/>
              <w:rPr>
                <w:rFonts w:ascii="Verdana" w:hAnsi="Verdana" w:cs="Arial"/>
                <w:sz w:val="24"/>
                <w:szCs w:val="24"/>
              </w:rPr>
            </w:pPr>
            <w:r w:rsidRPr="00224519">
              <w:rPr>
                <w:rFonts w:ascii="Verdana" w:hAnsi="Verdana" w:cs="Arial"/>
                <w:sz w:val="24"/>
                <w:szCs w:val="24"/>
              </w:rPr>
              <w:t xml:space="preserve">The purpose of this report is </w:t>
            </w:r>
            <w:r w:rsidR="004E6D01" w:rsidRPr="00224519">
              <w:rPr>
                <w:rFonts w:ascii="Verdana" w:hAnsi="Verdana" w:cs="Arial"/>
                <w:sz w:val="24"/>
                <w:szCs w:val="24"/>
              </w:rPr>
              <w:t>to provide</w:t>
            </w:r>
            <w:r w:rsidR="006F1B7D" w:rsidRPr="00224519">
              <w:rPr>
                <w:rFonts w:ascii="Verdana" w:hAnsi="Verdana" w:cs="Arial"/>
                <w:sz w:val="24"/>
                <w:szCs w:val="24"/>
              </w:rPr>
              <w:t xml:space="preserve"> </w:t>
            </w:r>
            <w:r w:rsidR="00974449" w:rsidRPr="00224519">
              <w:rPr>
                <w:rFonts w:ascii="Verdana" w:hAnsi="Verdana" w:cs="Arial"/>
                <w:sz w:val="24"/>
                <w:szCs w:val="24"/>
              </w:rPr>
              <w:t>EASC</w:t>
            </w:r>
            <w:r w:rsidR="007C5A56" w:rsidRPr="00224519">
              <w:rPr>
                <w:rFonts w:ascii="Verdana" w:hAnsi="Verdana" w:cs="Arial"/>
                <w:sz w:val="24"/>
                <w:szCs w:val="24"/>
              </w:rPr>
              <w:t xml:space="preserve"> with the Welsh Ambulance Service NHS Trust’s (WAST) response to the Nov-2019 National Collaborative Commissioning Unit’s</w:t>
            </w:r>
            <w:r w:rsidR="00B678C2" w:rsidRPr="00224519">
              <w:rPr>
                <w:rFonts w:ascii="Verdana" w:hAnsi="Verdana" w:cs="Arial"/>
                <w:sz w:val="24"/>
                <w:szCs w:val="24"/>
              </w:rPr>
              <w:t xml:space="preserve"> (NCCU)</w:t>
            </w:r>
            <w:r w:rsidR="007C5A56" w:rsidRPr="00224519">
              <w:rPr>
                <w:rFonts w:ascii="Verdana" w:hAnsi="Verdana" w:cs="Arial"/>
                <w:sz w:val="24"/>
                <w:szCs w:val="24"/>
              </w:rPr>
              <w:t xml:space="preserve"> paper on progress against the 2019/20 commissioning intentions.</w:t>
            </w:r>
          </w:p>
        </w:tc>
      </w:tr>
    </w:tbl>
    <w:p w:rsidR="008E6BE9" w:rsidRPr="00224519" w:rsidRDefault="008E6BE9" w:rsidP="008E6BE9">
      <w:pPr>
        <w:pStyle w:val="Footer"/>
        <w:tabs>
          <w:tab w:val="right" w:pos="9000"/>
        </w:tabs>
        <w:jc w:val="center"/>
        <w:rPr>
          <w:rFonts w:ascii="Verdana" w:hAnsi="Verdana" w:cs="Arial"/>
          <w:b/>
          <w:sz w:val="24"/>
          <w:szCs w:val="24"/>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74"/>
        <w:gridCol w:w="74"/>
        <w:gridCol w:w="540"/>
        <w:gridCol w:w="72"/>
        <w:gridCol w:w="1586"/>
        <w:gridCol w:w="512"/>
        <w:gridCol w:w="1929"/>
        <w:gridCol w:w="529"/>
        <w:gridCol w:w="1132"/>
        <w:gridCol w:w="529"/>
        <w:gridCol w:w="11"/>
      </w:tblGrid>
      <w:tr w:rsidR="008E6BE9" w:rsidRPr="00224519" w:rsidTr="00C0354F">
        <w:trPr>
          <w:gridAfter w:val="1"/>
          <w:wAfter w:w="11" w:type="dxa"/>
          <w:trHeight w:val="425"/>
        </w:trPr>
        <w:tc>
          <w:tcPr>
            <w:tcW w:w="9277" w:type="dxa"/>
            <w:gridSpan w:val="10"/>
            <w:tcBorders>
              <w:top w:val="single" w:sz="4" w:space="0" w:color="auto"/>
              <w:left w:val="single" w:sz="4" w:space="0" w:color="auto"/>
              <w:bottom w:val="single" w:sz="4" w:space="0" w:color="auto"/>
              <w:right w:val="single" w:sz="4" w:space="0" w:color="auto"/>
            </w:tcBorders>
            <w:shd w:val="clear" w:color="auto" w:fill="E6E6E6"/>
          </w:tcPr>
          <w:p w:rsidR="008E6BE9" w:rsidRPr="00224519" w:rsidRDefault="008E6BE9" w:rsidP="00C0354F">
            <w:pPr>
              <w:rPr>
                <w:rFonts w:ascii="Verdana" w:hAnsi="Verdana" w:cs="Arial"/>
                <w:b/>
                <w:sz w:val="24"/>
                <w:szCs w:val="24"/>
              </w:rPr>
            </w:pPr>
            <w:r w:rsidRPr="00224519">
              <w:rPr>
                <w:rFonts w:ascii="Verdana" w:hAnsi="Verdana" w:cs="Arial"/>
                <w:b/>
                <w:sz w:val="24"/>
                <w:szCs w:val="24"/>
              </w:rPr>
              <w:t>Governance</w:t>
            </w:r>
          </w:p>
        </w:tc>
      </w:tr>
      <w:tr w:rsidR="008E6BE9" w:rsidRPr="00224519" w:rsidTr="00C0354F">
        <w:trPr>
          <w:gridAfter w:val="1"/>
          <w:wAfter w:w="11" w:type="dxa"/>
          <w:trHeight w:val="425"/>
        </w:trPr>
        <w:tc>
          <w:tcPr>
            <w:tcW w:w="2374" w:type="dxa"/>
            <w:tcBorders>
              <w:top w:val="single" w:sz="4" w:space="0" w:color="auto"/>
              <w:left w:val="single" w:sz="4" w:space="0" w:color="auto"/>
              <w:bottom w:val="single" w:sz="4" w:space="0" w:color="auto"/>
              <w:right w:val="single" w:sz="4" w:space="0" w:color="auto"/>
            </w:tcBorders>
            <w:shd w:val="clear" w:color="auto" w:fill="E6E6E6"/>
          </w:tcPr>
          <w:p w:rsidR="008E6BE9" w:rsidRPr="00224519" w:rsidRDefault="008E6BE9" w:rsidP="00C0354F">
            <w:pPr>
              <w:jc w:val="both"/>
              <w:rPr>
                <w:rFonts w:ascii="Verdana" w:hAnsi="Verdana" w:cs="Arial"/>
                <w:b/>
                <w:sz w:val="24"/>
                <w:szCs w:val="24"/>
              </w:rPr>
            </w:pPr>
            <w:r w:rsidRPr="00224519">
              <w:rPr>
                <w:rFonts w:ascii="Verdana" w:hAnsi="Verdana" w:cs="Arial"/>
                <w:b/>
                <w:sz w:val="24"/>
                <w:szCs w:val="24"/>
              </w:rPr>
              <w:t>Link to the Commissioning Agreement</w:t>
            </w:r>
          </w:p>
        </w:tc>
        <w:tc>
          <w:tcPr>
            <w:tcW w:w="6903" w:type="dxa"/>
            <w:gridSpan w:val="9"/>
            <w:tcBorders>
              <w:top w:val="single" w:sz="4" w:space="0" w:color="auto"/>
              <w:left w:val="single" w:sz="4" w:space="0" w:color="auto"/>
              <w:bottom w:val="single" w:sz="4" w:space="0" w:color="auto"/>
              <w:right w:val="single" w:sz="4" w:space="0" w:color="auto"/>
            </w:tcBorders>
            <w:shd w:val="clear" w:color="auto" w:fill="auto"/>
          </w:tcPr>
          <w:p w:rsidR="008E6BE9" w:rsidRPr="00224519" w:rsidRDefault="008E6BE9" w:rsidP="00CD650E">
            <w:pPr>
              <w:jc w:val="both"/>
              <w:rPr>
                <w:rFonts w:ascii="Verdana" w:hAnsi="Verdana" w:cs="Arial"/>
                <w:sz w:val="24"/>
                <w:szCs w:val="24"/>
              </w:rPr>
            </w:pPr>
            <w:r w:rsidRPr="00224519">
              <w:rPr>
                <w:rFonts w:ascii="Verdana" w:hAnsi="Verdana" w:cs="Arial"/>
                <w:sz w:val="24"/>
                <w:szCs w:val="24"/>
              </w:rPr>
              <w:t xml:space="preserve">The Committee’s overarching role is to ensure its Commissioning Strategy for </w:t>
            </w:r>
            <w:r w:rsidR="00A21CE0" w:rsidRPr="00224519">
              <w:rPr>
                <w:rFonts w:ascii="Verdana" w:hAnsi="Verdana" w:cs="Arial"/>
                <w:sz w:val="24"/>
                <w:szCs w:val="24"/>
              </w:rPr>
              <w:t xml:space="preserve">EMS and NEPTS </w:t>
            </w:r>
            <w:r w:rsidRPr="00224519">
              <w:rPr>
                <w:rFonts w:ascii="Verdana" w:hAnsi="Verdana" w:cs="Arial"/>
                <w:sz w:val="24"/>
                <w:szCs w:val="24"/>
              </w:rPr>
              <w:t xml:space="preserve">utilising the </w:t>
            </w:r>
            <w:r w:rsidR="00A21CE0" w:rsidRPr="00224519">
              <w:rPr>
                <w:rFonts w:ascii="Verdana" w:hAnsi="Verdana" w:cs="Arial"/>
                <w:sz w:val="24"/>
                <w:szCs w:val="24"/>
              </w:rPr>
              <w:t xml:space="preserve">respective </w:t>
            </w:r>
            <w:r w:rsidRPr="00224519">
              <w:rPr>
                <w:rFonts w:ascii="Verdana" w:hAnsi="Verdana" w:cs="Arial"/>
                <w:sz w:val="24"/>
                <w:szCs w:val="24"/>
              </w:rPr>
              <w:t xml:space="preserve">five step patient pathway outlined within the </w:t>
            </w:r>
            <w:r w:rsidRPr="00224519">
              <w:rPr>
                <w:rFonts w:ascii="Verdana" w:hAnsi="Verdana"/>
                <w:sz w:val="24"/>
                <w:szCs w:val="24"/>
              </w:rPr>
              <w:t>National Collaborative Commissioning Quality and Delivery Agreement</w:t>
            </w:r>
            <w:r w:rsidR="00A21CE0" w:rsidRPr="00224519">
              <w:rPr>
                <w:rFonts w:ascii="Verdana" w:hAnsi="Verdana"/>
                <w:sz w:val="24"/>
                <w:szCs w:val="24"/>
              </w:rPr>
              <w:t>s</w:t>
            </w:r>
            <w:r w:rsidRPr="00224519">
              <w:rPr>
                <w:rFonts w:ascii="Verdana" w:hAnsi="Verdana" w:cs="Arial"/>
                <w:sz w:val="24"/>
                <w:szCs w:val="24"/>
              </w:rPr>
              <w:t xml:space="preserve"> and the related outcomes for each care standard aligned with the Institute of Health</w:t>
            </w:r>
            <w:r w:rsidR="006F1B7D" w:rsidRPr="00224519">
              <w:rPr>
                <w:rFonts w:ascii="Verdana" w:hAnsi="Verdana" w:cs="Arial"/>
                <w:sz w:val="24"/>
                <w:szCs w:val="24"/>
              </w:rPr>
              <w:t>care Improvement's (IHI) ‘Quadruple</w:t>
            </w:r>
            <w:r w:rsidRPr="00224519">
              <w:rPr>
                <w:rFonts w:ascii="Verdana" w:hAnsi="Verdana" w:cs="Arial"/>
                <w:sz w:val="24"/>
                <w:szCs w:val="24"/>
              </w:rPr>
              <w:t xml:space="preserve"> Aim’ are being progressed. This report focuses on the above, specifically</w:t>
            </w:r>
            <w:r w:rsidR="00CD650E" w:rsidRPr="00224519">
              <w:rPr>
                <w:rFonts w:ascii="Verdana" w:hAnsi="Verdana" w:cs="Arial"/>
                <w:sz w:val="24"/>
                <w:szCs w:val="24"/>
              </w:rPr>
              <w:t xml:space="preserve"> on progress on delivering the 2019/20 commissioning intentions for EMS and NEPTS</w:t>
            </w:r>
            <w:r w:rsidR="00363505" w:rsidRPr="00224519">
              <w:rPr>
                <w:rFonts w:ascii="Verdana" w:hAnsi="Verdana" w:cs="Arial"/>
                <w:sz w:val="24"/>
                <w:szCs w:val="24"/>
              </w:rPr>
              <w:t>.</w:t>
            </w:r>
          </w:p>
        </w:tc>
      </w:tr>
      <w:tr w:rsidR="008E6BE9" w:rsidRPr="00224519" w:rsidTr="00C0354F">
        <w:trPr>
          <w:gridAfter w:val="1"/>
          <w:wAfter w:w="11" w:type="dxa"/>
          <w:trHeight w:val="425"/>
        </w:trPr>
        <w:tc>
          <w:tcPr>
            <w:tcW w:w="2374" w:type="dxa"/>
            <w:tcBorders>
              <w:top w:val="single" w:sz="4" w:space="0" w:color="auto"/>
              <w:left w:val="single" w:sz="4" w:space="0" w:color="auto"/>
              <w:bottom w:val="single" w:sz="4" w:space="0" w:color="auto"/>
              <w:right w:val="single" w:sz="4" w:space="0" w:color="auto"/>
            </w:tcBorders>
            <w:shd w:val="clear" w:color="auto" w:fill="E6E6E6"/>
          </w:tcPr>
          <w:p w:rsidR="008E6BE9" w:rsidRPr="00224519" w:rsidRDefault="008E6BE9" w:rsidP="00C0354F">
            <w:pPr>
              <w:jc w:val="both"/>
              <w:rPr>
                <w:rFonts w:ascii="Verdana" w:hAnsi="Verdana" w:cs="Arial"/>
                <w:b/>
                <w:sz w:val="24"/>
                <w:szCs w:val="24"/>
              </w:rPr>
            </w:pPr>
            <w:r w:rsidRPr="00224519">
              <w:rPr>
                <w:rFonts w:ascii="Verdana" w:hAnsi="Verdana" w:cs="Arial"/>
                <w:b/>
                <w:sz w:val="24"/>
                <w:szCs w:val="24"/>
              </w:rPr>
              <w:t>Supporting evidence</w:t>
            </w:r>
          </w:p>
        </w:tc>
        <w:tc>
          <w:tcPr>
            <w:tcW w:w="6903" w:type="dxa"/>
            <w:gridSpan w:val="9"/>
            <w:tcBorders>
              <w:top w:val="single" w:sz="4" w:space="0" w:color="auto"/>
              <w:left w:val="single" w:sz="4" w:space="0" w:color="auto"/>
              <w:bottom w:val="single" w:sz="4" w:space="0" w:color="auto"/>
              <w:right w:val="single" w:sz="4" w:space="0" w:color="auto"/>
            </w:tcBorders>
            <w:shd w:val="clear" w:color="auto" w:fill="auto"/>
          </w:tcPr>
          <w:p w:rsidR="008E6BE9" w:rsidRPr="00224519" w:rsidRDefault="008E6BE9" w:rsidP="00C0354F">
            <w:pPr>
              <w:jc w:val="both"/>
              <w:rPr>
                <w:rFonts w:ascii="Verdana" w:hAnsi="Verdana" w:cs="Arial"/>
                <w:sz w:val="24"/>
                <w:szCs w:val="24"/>
              </w:rPr>
            </w:pPr>
            <w:r w:rsidRPr="00224519">
              <w:rPr>
                <w:rFonts w:ascii="Verdana" w:hAnsi="Verdana" w:cs="Arial"/>
                <w:sz w:val="24"/>
                <w:szCs w:val="24"/>
              </w:rPr>
              <w:t>The Collaborative Commissioning Quality and Delivery</w:t>
            </w:r>
          </w:p>
          <w:p w:rsidR="008E6BE9" w:rsidRPr="00224519" w:rsidRDefault="008E6BE9" w:rsidP="006F1B7D">
            <w:pPr>
              <w:jc w:val="both"/>
              <w:rPr>
                <w:rFonts w:ascii="Verdana" w:hAnsi="Verdana" w:cs="Arial"/>
                <w:sz w:val="24"/>
                <w:szCs w:val="24"/>
              </w:rPr>
            </w:pPr>
            <w:r w:rsidRPr="00224519">
              <w:rPr>
                <w:rFonts w:ascii="Verdana" w:hAnsi="Verdana" w:cs="Arial"/>
                <w:sz w:val="24"/>
                <w:szCs w:val="24"/>
              </w:rPr>
              <w:t>Framework</w:t>
            </w:r>
            <w:r w:rsidR="00CD650E" w:rsidRPr="00224519">
              <w:rPr>
                <w:rFonts w:ascii="Verdana" w:hAnsi="Verdana" w:cs="Arial"/>
                <w:sz w:val="24"/>
                <w:szCs w:val="24"/>
              </w:rPr>
              <w:t xml:space="preserve">: </w:t>
            </w:r>
            <w:r w:rsidR="0017564E" w:rsidRPr="00224519">
              <w:rPr>
                <w:rFonts w:ascii="Verdana" w:hAnsi="Verdana" w:cs="Arial"/>
                <w:sz w:val="24"/>
                <w:szCs w:val="24"/>
              </w:rPr>
              <w:t>emergency medical service (</w:t>
            </w:r>
            <w:r w:rsidR="00CD650E" w:rsidRPr="00224519">
              <w:rPr>
                <w:rFonts w:ascii="Verdana" w:hAnsi="Verdana" w:cs="Arial"/>
                <w:sz w:val="24"/>
                <w:szCs w:val="24"/>
              </w:rPr>
              <w:t>EMS</w:t>
            </w:r>
            <w:r w:rsidR="0017564E" w:rsidRPr="00224519">
              <w:rPr>
                <w:rFonts w:ascii="Verdana" w:hAnsi="Verdana" w:cs="Arial"/>
                <w:sz w:val="24"/>
                <w:szCs w:val="24"/>
              </w:rPr>
              <w:t>)</w:t>
            </w:r>
            <w:r w:rsidR="00CD650E" w:rsidRPr="00224519">
              <w:rPr>
                <w:rFonts w:ascii="Verdana" w:hAnsi="Verdana" w:cs="Arial"/>
                <w:sz w:val="24"/>
                <w:szCs w:val="24"/>
              </w:rPr>
              <w:t xml:space="preserve"> and </w:t>
            </w:r>
            <w:r w:rsidR="0017564E" w:rsidRPr="00224519">
              <w:rPr>
                <w:rFonts w:ascii="Verdana" w:hAnsi="Verdana" w:cs="Arial"/>
                <w:sz w:val="24"/>
                <w:szCs w:val="24"/>
              </w:rPr>
              <w:t>non-emergency patient transport service (</w:t>
            </w:r>
            <w:r w:rsidR="00CD650E" w:rsidRPr="00224519">
              <w:rPr>
                <w:rFonts w:ascii="Verdana" w:hAnsi="Verdana" w:cs="Arial"/>
                <w:sz w:val="24"/>
                <w:szCs w:val="24"/>
              </w:rPr>
              <w:t>NEPTS</w:t>
            </w:r>
            <w:r w:rsidR="0017564E" w:rsidRPr="00224519">
              <w:rPr>
                <w:rFonts w:ascii="Verdana" w:hAnsi="Verdana" w:cs="Arial"/>
                <w:sz w:val="24"/>
                <w:szCs w:val="24"/>
              </w:rPr>
              <w:t>)</w:t>
            </w:r>
            <w:r w:rsidR="00CD650E" w:rsidRPr="00224519">
              <w:rPr>
                <w:rFonts w:ascii="Verdana" w:hAnsi="Verdana" w:cs="Arial"/>
                <w:sz w:val="24"/>
                <w:szCs w:val="24"/>
              </w:rPr>
              <w:t xml:space="preserve"> (2019/20 commissioning intentions).</w:t>
            </w:r>
          </w:p>
        </w:tc>
      </w:tr>
      <w:tr w:rsidR="008E6BE9" w:rsidRPr="00224519" w:rsidTr="00C0354F">
        <w:trPr>
          <w:trHeight w:val="425"/>
        </w:trPr>
        <w:tc>
          <w:tcPr>
            <w:tcW w:w="9288" w:type="dxa"/>
            <w:gridSpan w:val="11"/>
            <w:tcBorders>
              <w:top w:val="single" w:sz="4" w:space="0" w:color="auto"/>
              <w:left w:val="single" w:sz="4" w:space="0" w:color="auto"/>
              <w:bottom w:val="single" w:sz="4" w:space="0" w:color="auto"/>
              <w:right w:val="single" w:sz="4" w:space="0" w:color="auto"/>
            </w:tcBorders>
            <w:shd w:val="clear" w:color="auto" w:fill="E6E6E6"/>
          </w:tcPr>
          <w:p w:rsidR="008E6BE9" w:rsidRPr="00224519" w:rsidRDefault="008E6BE9" w:rsidP="00C0354F">
            <w:pPr>
              <w:jc w:val="both"/>
              <w:rPr>
                <w:rFonts w:ascii="Verdana" w:hAnsi="Verdana" w:cs="Arial"/>
                <w:b/>
                <w:sz w:val="24"/>
                <w:szCs w:val="24"/>
              </w:rPr>
            </w:pPr>
            <w:r w:rsidRPr="00224519">
              <w:rPr>
                <w:rFonts w:ascii="Verdana" w:hAnsi="Verdana" w:cs="Arial"/>
                <w:b/>
                <w:sz w:val="24"/>
                <w:szCs w:val="24"/>
              </w:rPr>
              <w:t>Engagement – Who has been involved in this work?</w:t>
            </w:r>
          </w:p>
        </w:tc>
      </w:tr>
      <w:tr w:rsidR="008E6BE9" w:rsidRPr="00224519" w:rsidTr="00C0354F">
        <w:trPr>
          <w:trHeight w:val="425"/>
        </w:trPr>
        <w:tc>
          <w:tcPr>
            <w:tcW w:w="9288" w:type="dxa"/>
            <w:gridSpan w:val="11"/>
            <w:tcBorders>
              <w:top w:val="single" w:sz="4" w:space="0" w:color="auto"/>
              <w:left w:val="single" w:sz="4" w:space="0" w:color="auto"/>
              <w:bottom w:val="single" w:sz="4" w:space="0" w:color="auto"/>
              <w:right w:val="single" w:sz="4" w:space="0" w:color="auto"/>
            </w:tcBorders>
            <w:shd w:val="clear" w:color="auto" w:fill="auto"/>
          </w:tcPr>
          <w:p w:rsidR="008E6BE9" w:rsidRDefault="007C5A56" w:rsidP="006F1B7D">
            <w:pPr>
              <w:jc w:val="both"/>
              <w:rPr>
                <w:rFonts w:ascii="Verdana" w:hAnsi="Verdana" w:cs="Arial"/>
                <w:sz w:val="24"/>
                <w:szCs w:val="24"/>
              </w:rPr>
            </w:pPr>
            <w:r w:rsidRPr="00224519">
              <w:rPr>
                <w:rFonts w:ascii="Verdana" w:hAnsi="Verdana" w:cs="Arial"/>
                <w:sz w:val="24"/>
                <w:szCs w:val="24"/>
              </w:rPr>
              <w:t>NCCU</w:t>
            </w:r>
            <w:r w:rsidR="006F1B7D" w:rsidRPr="00224519">
              <w:rPr>
                <w:rFonts w:ascii="Verdana" w:hAnsi="Verdana" w:cs="Arial"/>
                <w:sz w:val="24"/>
                <w:szCs w:val="24"/>
              </w:rPr>
              <w:t>.</w:t>
            </w:r>
          </w:p>
          <w:p w:rsidR="00224519" w:rsidRDefault="00224519" w:rsidP="006F1B7D">
            <w:pPr>
              <w:jc w:val="both"/>
              <w:rPr>
                <w:rFonts w:ascii="Verdana" w:hAnsi="Verdana" w:cs="Arial"/>
                <w:sz w:val="24"/>
                <w:szCs w:val="24"/>
              </w:rPr>
            </w:pPr>
          </w:p>
          <w:p w:rsidR="00224519" w:rsidRDefault="00224519" w:rsidP="006F1B7D">
            <w:pPr>
              <w:jc w:val="both"/>
              <w:rPr>
                <w:rFonts w:ascii="Verdana" w:hAnsi="Verdana" w:cs="Arial"/>
                <w:sz w:val="24"/>
                <w:szCs w:val="24"/>
              </w:rPr>
            </w:pPr>
          </w:p>
          <w:p w:rsidR="00224519" w:rsidRDefault="00224519" w:rsidP="006F1B7D">
            <w:pPr>
              <w:jc w:val="both"/>
              <w:rPr>
                <w:rFonts w:ascii="Verdana" w:hAnsi="Verdana" w:cs="Arial"/>
                <w:sz w:val="24"/>
                <w:szCs w:val="24"/>
              </w:rPr>
            </w:pPr>
          </w:p>
          <w:p w:rsidR="00224519" w:rsidRDefault="00224519" w:rsidP="006F1B7D">
            <w:pPr>
              <w:jc w:val="both"/>
              <w:rPr>
                <w:rFonts w:ascii="Verdana" w:hAnsi="Verdana" w:cs="Arial"/>
                <w:sz w:val="24"/>
                <w:szCs w:val="24"/>
              </w:rPr>
            </w:pPr>
          </w:p>
          <w:p w:rsidR="00224519" w:rsidRPr="00224519" w:rsidRDefault="00224519" w:rsidP="006F1B7D">
            <w:pPr>
              <w:jc w:val="both"/>
              <w:rPr>
                <w:rFonts w:ascii="Verdana" w:hAnsi="Verdana" w:cs="Arial"/>
                <w:sz w:val="24"/>
                <w:szCs w:val="24"/>
              </w:rPr>
            </w:pPr>
          </w:p>
        </w:tc>
      </w:tr>
      <w:tr w:rsidR="008E6BE9" w:rsidRPr="00224519" w:rsidTr="00C0354F">
        <w:trPr>
          <w:trHeight w:val="425"/>
        </w:trPr>
        <w:tc>
          <w:tcPr>
            <w:tcW w:w="9288" w:type="dxa"/>
            <w:gridSpan w:val="11"/>
            <w:tcBorders>
              <w:top w:val="single" w:sz="4" w:space="0" w:color="auto"/>
              <w:left w:val="single" w:sz="4" w:space="0" w:color="auto"/>
              <w:bottom w:val="single" w:sz="4" w:space="0" w:color="auto"/>
              <w:right w:val="single" w:sz="4" w:space="0" w:color="auto"/>
            </w:tcBorders>
            <w:shd w:val="clear" w:color="auto" w:fill="E6E6E6"/>
          </w:tcPr>
          <w:p w:rsidR="008E6BE9" w:rsidRPr="00224519" w:rsidRDefault="008E6BE9" w:rsidP="00224519">
            <w:pPr>
              <w:jc w:val="both"/>
              <w:rPr>
                <w:rFonts w:ascii="Verdana" w:hAnsi="Verdana" w:cs="Arial"/>
                <w:b/>
                <w:sz w:val="24"/>
                <w:szCs w:val="24"/>
              </w:rPr>
            </w:pPr>
            <w:r w:rsidRPr="00224519">
              <w:rPr>
                <w:rFonts w:ascii="Verdana" w:hAnsi="Verdana" w:cs="Arial"/>
                <w:b/>
                <w:sz w:val="24"/>
                <w:szCs w:val="24"/>
              </w:rPr>
              <w:lastRenderedPageBreak/>
              <w:t xml:space="preserve">Emergency Ambulance Services Committee Resolution </w:t>
            </w:r>
            <w:r w:rsidR="00224519">
              <w:rPr>
                <w:rFonts w:ascii="Verdana" w:hAnsi="Verdana" w:cs="Arial"/>
                <w:b/>
                <w:sz w:val="24"/>
                <w:szCs w:val="24"/>
              </w:rPr>
              <w:t>to:</w:t>
            </w:r>
          </w:p>
        </w:tc>
      </w:tr>
      <w:tr w:rsidR="00F74319" w:rsidRPr="00224519" w:rsidTr="00C0354F">
        <w:trPr>
          <w:trHeight w:val="425"/>
        </w:trPr>
        <w:tc>
          <w:tcPr>
            <w:tcW w:w="2448" w:type="dxa"/>
            <w:gridSpan w:val="2"/>
            <w:tcBorders>
              <w:top w:val="single" w:sz="4" w:space="0" w:color="auto"/>
              <w:left w:val="single" w:sz="4" w:space="0" w:color="auto"/>
              <w:bottom w:val="single" w:sz="4" w:space="0" w:color="auto"/>
              <w:right w:val="single" w:sz="4" w:space="0" w:color="auto"/>
            </w:tcBorders>
            <w:shd w:val="clear" w:color="auto" w:fill="E6E6E6"/>
          </w:tcPr>
          <w:p w:rsidR="00F74319" w:rsidRPr="00224519" w:rsidRDefault="00F74319" w:rsidP="00F74319">
            <w:pPr>
              <w:rPr>
                <w:rFonts w:ascii="Verdana" w:hAnsi="Verdana" w:cs="Arial"/>
                <w:b/>
                <w:sz w:val="24"/>
                <w:szCs w:val="24"/>
              </w:rPr>
            </w:pPr>
            <w:r w:rsidRPr="00224519">
              <w:rPr>
                <w:rFonts w:ascii="Verdana" w:hAnsi="Verdana" w:cs="Arial"/>
                <w:b/>
                <w:sz w:val="24"/>
                <w:szCs w:val="24"/>
              </w:rPr>
              <w:t>APPROVE</w:t>
            </w:r>
          </w:p>
        </w:tc>
        <w:tc>
          <w:tcPr>
            <w:tcW w:w="540" w:type="dxa"/>
            <w:tcBorders>
              <w:top w:val="single" w:sz="4" w:space="0" w:color="auto"/>
              <w:left w:val="single" w:sz="4" w:space="0" w:color="auto"/>
              <w:bottom w:val="single" w:sz="4" w:space="0" w:color="auto"/>
              <w:right w:val="single" w:sz="4" w:space="0" w:color="auto"/>
            </w:tcBorders>
            <w:shd w:val="clear" w:color="auto" w:fill="auto"/>
          </w:tcPr>
          <w:p w:rsidR="00F74319" w:rsidRPr="00224519" w:rsidRDefault="00F74319" w:rsidP="00F74319">
            <w:pPr>
              <w:jc w:val="center"/>
              <w:rPr>
                <w:rFonts w:ascii="Verdana" w:hAnsi="Verdana" w:cs="Arial"/>
                <w:sz w:val="24"/>
                <w:szCs w:val="24"/>
              </w:rPr>
            </w:pPr>
          </w:p>
        </w:tc>
        <w:tc>
          <w:tcPr>
            <w:tcW w:w="1658" w:type="dxa"/>
            <w:gridSpan w:val="2"/>
            <w:tcBorders>
              <w:top w:val="single" w:sz="4" w:space="0" w:color="auto"/>
              <w:left w:val="single" w:sz="4" w:space="0" w:color="auto"/>
              <w:bottom w:val="single" w:sz="4" w:space="0" w:color="auto"/>
              <w:right w:val="single" w:sz="4" w:space="0" w:color="auto"/>
            </w:tcBorders>
            <w:shd w:val="clear" w:color="auto" w:fill="E6E6E6"/>
          </w:tcPr>
          <w:p w:rsidR="00F74319" w:rsidRPr="00224519" w:rsidRDefault="00F74319" w:rsidP="00F74319">
            <w:pPr>
              <w:rPr>
                <w:rFonts w:ascii="Verdana" w:hAnsi="Verdana" w:cs="Arial"/>
                <w:b/>
                <w:sz w:val="24"/>
                <w:szCs w:val="24"/>
              </w:rPr>
            </w:pPr>
            <w:r w:rsidRPr="00224519">
              <w:rPr>
                <w:rFonts w:ascii="Verdana" w:hAnsi="Verdana" w:cs="Arial"/>
                <w:b/>
                <w:sz w:val="24"/>
                <w:szCs w:val="24"/>
              </w:rPr>
              <w:t>ENDORSE</w:t>
            </w:r>
          </w:p>
        </w:tc>
        <w:tc>
          <w:tcPr>
            <w:tcW w:w="512" w:type="dxa"/>
            <w:tcBorders>
              <w:top w:val="single" w:sz="4" w:space="0" w:color="auto"/>
              <w:left w:val="single" w:sz="4" w:space="0" w:color="auto"/>
              <w:bottom w:val="single" w:sz="4" w:space="0" w:color="auto"/>
              <w:right w:val="single" w:sz="4" w:space="0" w:color="auto"/>
            </w:tcBorders>
            <w:shd w:val="clear" w:color="auto" w:fill="auto"/>
          </w:tcPr>
          <w:p w:rsidR="00F74319" w:rsidRPr="00224519" w:rsidRDefault="007C5A56" w:rsidP="00F74319">
            <w:pPr>
              <w:jc w:val="center"/>
              <w:rPr>
                <w:rFonts w:ascii="Verdana" w:hAnsi="Verdana" w:cs="Arial"/>
                <w:sz w:val="24"/>
                <w:szCs w:val="24"/>
              </w:rPr>
            </w:pPr>
            <w:r w:rsidRPr="00224519">
              <w:rPr>
                <w:rFonts w:ascii="Verdana" w:hAnsi="Verdana" w:cs="Arial"/>
                <w:sz w:val="24"/>
                <w:szCs w:val="24"/>
              </w:rPr>
              <w:t>√</w:t>
            </w:r>
          </w:p>
        </w:tc>
        <w:tc>
          <w:tcPr>
            <w:tcW w:w="1929" w:type="dxa"/>
            <w:tcBorders>
              <w:top w:val="single" w:sz="4" w:space="0" w:color="auto"/>
              <w:left w:val="single" w:sz="4" w:space="0" w:color="auto"/>
              <w:bottom w:val="single" w:sz="4" w:space="0" w:color="auto"/>
              <w:right w:val="single" w:sz="4" w:space="0" w:color="auto"/>
            </w:tcBorders>
            <w:shd w:val="clear" w:color="auto" w:fill="E6E6E6"/>
          </w:tcPr>
          <w:p w:rsidR="00F74319" w:rsidRPr="00224519" w:rsidRDefault="00F74319" w:rsidP="00F74319">
            <w:pPr>
              <w:rPr>
                <w:rFonts w:ascii="Verdana" w:hAnsi="Verdana" w:cs="Arial"/>
                <w:b/>
                <w:sz w:val="24"/>
                <w:szCs w:val="24"/>
              </w:rPr>
            </w:pPr>
            <w:r w:rsidRPr="00224519">
              <w:rPr>
                <w:rFonts w:ascii="Verdana" w:hAnsi="Verdana" w:cs="Arial"/>
                <w:b/>
                <w:sz w:val="24"/>
                <w:szCs w:val="24"/>
              </w:rPr>
              <w:t xml:space="preserve">DISCUSS </w:t>
            </w:r>
          </w:p>
        </w:tc>
        <w:tc>
          <w:tcPr>
            <w:tcW w:w="529" w:type="dxa"/>
            <w:tcBorders>
              <w:top w:val="single" w:sz="4" w:space="0" w:color="auto"/>
              <w:left w:val="single" w:sz="4" w:space="0" w:color="auto"/>
              <w:bottom w:val="single" w:sz="4" w:space="0" w:color="auto"/>
              <w:right w:val="single" w:sz="4" w:space="0" w:color="auto"/>
            </w:tcBorders>
            <w:shd w:val="clear" w:color="auto" w:fill="auto"/>
          </w:tcPr>
          <w:p w:rsidR="00F74319" w:rsidRPr="00224519" w:rsidRDefault="007C5A56" w:rsidP="00F74319">
            <w:pPr>
              <w:jc w:val="center"/>
              <w:rPr>
                <w:rFonts w:ascii="Verdana" w:hAnsi="Verdana" w:cs="Arial"/>
                <w:sz w:val="24"/>
                <w:szCs w:val="24"/>
              </w:rPr>
            </w:pPr>
            <w:r w:rsidRPr="00224519">
              <w:rPr>
                <w:rFonts w:ascii="Verdana" w:hAnsi="Verdana" w:cs="Arial"/>
                <w:sz w:val="24"/>
                <w:szCs w:val="24"/>
              </w:rPr>
              <w:t>√</w:t>
            </w:r>
          </w:p>
        </w:tc>
        <w:tc>
          <w:tcPr>
            <w:tcW w:w="1132" w:type="dxa"/>
            <w:tcBorders>
              <w:top w:val="single" w:sz="4" w:space="0" w:color="auto"/>
              <w:left w:val="single" w:sz="4" w:space="0" w:color="auto"/>
              <w:bottom w:val="single" w:sz="4" w:space="0" w:color="auto"/>
              <w:right w:val="single" w:sz="4" w:space="0" w:color="auto"/>
            </w:tcBorders>
            <w:shd w:val="clear" w:color="auto" w:fill="E6E6E6"/>
          </w:tcPr>
          <w:p w:rsidR="00F74319" w:rsidRPr="00224519" w:rsidRDefault="00F74319" w:rsidP="00F74319">
            <w:pPr>
              <w:rPr>
                <w:rFonts w:ascii="Verdana" w:hAnsi="Verdana" w:cs="Arial"/>
                <w:b/>
                <w:sz w:val="24"/>
                <w:szCs w:val="24"/>
              </w:rPr>
            </w:pPr>
            <w:r w:rsidRPr="00224519">
              <w:rPr>
                <w:rFonts w:ascii="Verdana" w:hAnsi="Verdana" w:cs="Arial"/>
                <w:b/>
                <w:sz w:val="24"/>
                <w:szCs w:val="24"/>
              </w:rPr>
              <w:t>NOTE</w:t>
            </w:r>
          </w:p>
        </w:tc>
        <w:tc>
          <w:tcPr>
            <w:tcW w:w="540" w:type="dxa"/>
            <w:gridSpan w:val="2"/>
            <w:tcBorders>
              <w:top w:val="single" w:sz="4" w:space="0" w:color="auto"/>
              <w:left w:val="single" w:sz="4" w:space="0" w:color="auto"/>
              <w:bottom w:val="single" w:sz="4" w:space="0" w:color="auto"/>
              <w:right w:val="single" w:sz="4" w:space="0" w:color="auto"/>
            </w:tcBorders>
            <w:shd w:val="clear" w:color="auto" w:fill="auto"/>
          </w:tcPr>
          <w:p w:rsidR="00F74319" w:rsidRPr="00224519" w:rsidRDefault="0017564E" w:rsidP="00F74319">
            <w:pPr>
              <w:jc w:val="center"/>
              <w:rPr>
                <w:rFonts w:ascii="Verdana" w:hAnsi="Verdana" w:cs="Arial"/>
                <w:sz w:val="24"/>
                <w:szCs w:val="24"/>
              </w:rPr>
            </w:pPr>
            <w:r w:rsidRPr="00224519">
              <w:rPr>
                <w:rFonts w:ascii="Verdana" w:hAnsi="Verdana" w:cs="Arial"/>
                <w:sz w:val="24"/>
                <w:szCs w:val="24"/>
              </w:rPr>
              <w:t>√</w:t>
            </w:r>
          </w:p>
        </w:tc>
      </w:tr>
      <w:tr w:rsidR="00F74319" w:rsidRPr="00224519" w:rsidTr="00C0354F">
        <w:trPr>
          <w:trHeight w:val="425"/>
        </w:trPr>
        <w:tc>
          <w:tcPr>
            <w:tcW w:w="2988" w:type="dxa"/>
            <w:gridSpan w:val="3"/>
            <w:tcBorders>
              <w:top w:val="single" w:sz="4" w:space="0" w:color="auto"/>
              <w:left w:val="single" w:sz="4" w:space="0" w:color="auto"/>
              <w:bottom w:val="single" w:sz="4" w:space="0" w:color="auto"/>
              <w:right w:val="single" w:sz="4" w:space="0" w:color="auto"/>
            </w:tcBorders>
            <w:shd w:val="clear" w:color="auto" w:fill="E6E6E6"/>
          </w:tcPr>
          <w:p w:rsidR="00F74319" w:rsidRPr="00224519" w:rsidRDefault="00F74319" w:rsidP="00F74319">
            <w:pPr>
              <w:rPr>
                <w:rFonts w:ascii="Verdana" w:hAnsi="Verdana" w:cs="Arial"/>
                <w:b/>
                <w:sz w:val="24"/>
                <w:szCs w:val="24"/>
              </w:rPr>
            </w:pPr>
            <w:r w:rsidRPr="00224519">
              <w:rPr>
                <w:rFonts w:ascii="Verdana" w:hAnsi="Verdana" w:cs="Arial"/>
                <w:b/>
                <w:sz w:val="24"/>
                <w:szCs w:val="24"/>
              </w:rPr>
              <w:t xml:space="preserve">Recommendation </w:t>
            </w:r>
          </w:p>
        </w:tc>
        <w:tc>
          <w:tcPr>
            <w:tcW w:w="6300" w:type="dxa"/>
            <w:gridSpan w:val="8"/>
            <w:tcBorders>
              <w:top w:val="single" w:sz="4" w:space="0" w:color="auto"/>
              <w:left w:val="single" w:sz="4" w:space="0" w:color="auto"/>
              <w:bottom w:val="single" w:sz="4" w:space="0" w:color="auto"/>
              <w:right w:val="single" w:sz="4" w:space="0" w:color="auto"/>
            </w:tcBorders>
            <w:shd w:val="clear" w:color="auto" w:fill="auto"/>
          </w:tcPr>
          <w:p w:rsidR="00F74319" w:rsidRPr="00224519" w:rsidRDefault="00F74319" w:rsidP="00F74319">
            <w:pPr>
              <w:autoSpaceDE w:val="0"/>
              <w:autoSpaceDN w:val="0"/>
              <w:adjustRightInd w:val="0"/>
              <w:rPr>
                <w:rFonts w:ascii="Verdana" w:hAnsi="Verdana" w:cs="Verdana"/>
                <w:sz w:val="24"/>
                <w:szCs w:val="24"/>
              </w:rPr>
            </w:pPr>
            <w:r w:rsidRPr="00224519">
              <w:rPr>
                <w:rFonts w:ascii="Verdana" w:hAnsi="Verdana" w:cs="Verdana"/>
                <w:sz w:val="24"/>
                <w:szCs w:val="24"/>
              </w:rPr>
              <w:t>EASC is asked to:</w:t>
            </w:r>
          </w:p>
          <w:p w:rsidR="00F74319" w:rsidRPr="00224519" w:rsidRDefault="00CD650E" w:rsidP="00F74319">
            <w:pPr>
              <w:numPr>
                <w:ilvl w:val="0"/>
                <w:numId w:val="2"/>
              </w:numPr>
              <w:autoSpaceDE w:val="0"/>
              <w:autoSpaceDN w:val="0"/>
              <w:adjustRightInd w:val="0"/>
              <w:jc w:val="both"/>
              <w:rPr>
                <w:rFonts w:ascii="Verdana" w:hAnsi="Verdana" w:cs="Arial"/>
                <w:color w:val="000000"/>
                <w:sz w:val="24"/>
                <w:szCs w:val="24"/>
              </w:rPr>
            </w:pPr>
            <w:r w:rsidRPr="00224519">
              <w:rPr>
                <w:rFonts w:ascii="Verdana" w:hAnsi="Verdana" w:cs="Arial"/>
                <w:b/>
                <w:color w:val="000000"/>
                <w:sz w:val="24"/>
                <w:szCs w:val="24"/>
              </w:rPr>
              <w:t xml:space="preserve">Discuss </w:t>
            </w:r>
            <w:r w:rsidRPr="00224519">
              <w:rPr>
                <w:rFonts w:ascii="Verdana" w:hAnsi="Verdana" w:cs="Arial"/>
                <w:color w:val="000000"/>
                <w:sz w:val="24"/>
                <w:szCs w:val="24"/>
              </w:rPr>
              <w:t>the findings of this report.</w:t>
            </w:r>
            <w:r w:rsidR="007C5A56" w:rsidRPr="00224519">
              <w:rPr>
                <w:rFonts w:ascii="Verdana" w:hAnsi="Verdana" w:cs="Arial"/>
                <w:color w:val="000000"/>
                <w:sz w:val="24"/>
                <w:szCs w:val="24"/>
              </w:rPr>
              <w:t xml:space="preserve">  </w:t>
            </w:r>
          </w:p>
          <w:p w:rsidR="007C5A56" w:rsidRPr="00224519" w:rsidRDefault="00CD650E" w:rsidP="007C5A56">
            <w:pPr>
              <w:numPr>
                <w:ilvl w:val="0"/>
                <w:numId w:val="2"/>
              </w:numPr>
              <w:autoSpaceDE w:val="0"/>
              <w:autoSpaceDN w:val="0"/>
              <w:adjustRightInd w:val="0"/>
              <w:jc w:val="both"/>
              <w:rPr>
                <w:rFonts w:ascii="Verdana" w:hAnsi="Verdana" w:cs="Arial"/>
                <w:color w:val="000000"/>
                <w:sz w:val="24"/>
                <w:szCs w:val="24"/>
              </w:rPr>
            </w:pPr>
            <w:r w:rsidRPr="00224519">
              <w:rPr>
                <w:rFonts w:ascii="Verdana" w:hAnsi="Verdana" w:cs="Arial"/>
                <w:b/>
                <w:color w:val="000000"/>
                <w:sz w:val="24"/>
                <w:szCs w:val="24"/>
              </w:rPr>
              <w:t>Note</w:t>
            </w:r>
            <w:r w:rsidR="00F74319" w:rsidRPr="00224519">
              <w:rPr>
                <w:rFonts w:ascii="Verdana" w:hAnsi="Verdana" w:cs="Arial"/>
                <w:b/>
                <w:color w:val="000000"/>
                <w:sz w:val="24"/>
                <w:szCs w:val="24"/>
              </w:rPr>
              <w:t xml:space="preserve"> </w:t>
            </w:r>
            <w:r w:rsidR="00F74319" w:rsidRPr="00224519">
              <w:rPr>
                <w:rFonts w:ascii="Verdana" w:hAnsi="Verdana" w:cs="Arial"/>
                <w:color w:val="000000"/>
                <w:sz w:val="24"/>
                <w:szCs w:val="24"/>
              </w:rPr>
              <w:t>the</w:t>
            </w:r>
            <w:r w:rsidR="007C5A56" w:rsidRPr="00224519">
              <w:rPr>
                <w:rFonts w:ascii="Verdana" w:hAnsi="Verdana" w:cs="Arial"/>
                <w:color w:val="000000"/>
                <w:sz w:val="24"/>
                <w:szCs w:val="24"/>
              </w:rPr>
              <w:t xml:space="preserve"> findings of this report.</w:t>
            </w:r>
          </w:p>
        </w:tc>
      </w:tr>
      <w:tr w:rsidR="00F74319" w:rsidRPr="00224519" w:rsidTr="00C0354F">
        <w:trPr>
          <w:trHeight w:val="425"/>
        </w:trPr>
        <w:tc>
          <w:tcPr>
            <w:tcW w:w="9288" w:type="dxa"/>
            <w:gridSpan w:val="11"/>
            <w:tcBorders>
              <w:top w:val="single" w:sz="4" w:space="0" w:color="auto"/>
              <w:left w:val="single" w:sz="4" w:space="0" w:color="auto"/>
              <w:bottom w:val="single" w:sz="4" w:space="0" w:color="auto"/>
              <w:right w:val="single" w:sz="4" w:space="0" w:color="auto"/>
            </w:tcBorders>
            <w:shd w:val="clear" w:color="auto" w:fill="E6E6E6"/>
          </w:tcPr>
          <w:p w:rsidR="00F74319" w:rsidRPr="00224519" w:rsidRDefault="00F74319" w:rsidP="00224519">
            <w:pPr>
              <w:jc w:val="both"/>
              <w:rPr>
                <w:rFonts w:ascii="Verdana" w:hAnsi="Verdana" w:cs="Arial"/>
                <w:b/>
                <w:sz w:val="24"/>
                <w:szCs w:val="24"/>
              </w:rPr>
            </w:pPr>
            <w:r w:rsidRPr="00224519">
              <w:rPr>
                <w:rFonts w:ascii="Verdana" w:hAnsi="Verdana" w:cs="Arial"/>
                <w:b/>
                <w:sz w:val="24"/>
                <w:szCs w:val="24"/>
              </w:rPr>
              <w:t>Summarise the Impact of the Emergency Ambulance Services Committee Report</w:t>
            </w:r>
          </w:p>
        </w:tc>
      </w:tr>
      <w:tr w:rsidR="00F74319" w:rsidRPr="00224519" w:rsidTr="00C0354F">
        <w:trPr>
          <w:trHeight w:val="425"/>
        </w:trPr>
        <w:tc>
          <w:tcPr>
            <w:tcW w:w="3060" w:type="dxa"/>
            <w:gridSpan w:val="4"/>
            <w:tcBorders>
              <w:top w:val="single" w:sz="4" w:space="0" w:color="auto"/>
              <w:left w:val="single" w:sz="4" w:space="0" w:color="auto"/>
              <w:bottom w:val="single" w:sz="4" w:space="0" w:color="auto"/>
              <w:right w:val="single" w:sz="4" w:space="0" w:color="auto"/>
            </w:tcBorders>
            <w:shd w:val="clear" w:color="auto" w:fill="E6E6E6"/>
          </w:tcPr>
          <w:p w:rsidR="00F74319" w:rsidRPr="00224519" w:rsidRDefault="00F74319" w:rsidP="00F74319">
            <w:pPr>
              <w:rPr>
                <w:rFonts w:ascii="Verdana" w:hAnsi="Verdana" w:cs="Arial"/>
                <w:b/>
                <w:bCs/>
                <w:sz w:val="24"/>
                <w:szCs w:val="24"/>
              </w:rPr>
            </w:pPr>
            <w:r w:rsidRPr="00224519">
              <w:rPr>
                <w:rFonts w:ascii="Verdana" w:hAnsi="Verdana" w:cs="Arial"/>
                <w:b/>
                <w:sz w:val="24"/>
                <w:szCs w:val="24"/>
              </w:rPr>
              <w:t>Equality and diversity</w:t>
            </w:r>
          </w:p>
        </w:tc>
        <w:tc>
          <w:tcPr>
            <w:tcW w:w="6228" w:type="dxa"/>
            <w:gridSpan w:val="7"/>
            <w:tcBorders>
              <w:top w:val="single" w:sz="4" w:space="0" w:color="auto"/>
              <w:left w:val="single" w:sz="4" w:space="0" w:color="auto"/>
              <w:bottom w:val="single" w:sz="4" w:space="0" w:color="auto"/>
              <w:right w:val="single" w:sz="4" w:space="0" w:color="auto"/>
            </w:tcBorders>
          </w:tcPr>
          <w:p w:rsidR="00F74319" w:rsidRPr="00224519" w:rsidRDefault="00F74319" w:rsidP="00224519">
            <w:pPr>
              <w:autoSpaceDE w:val="0"/>
              <w:autoSpaceDN w:val="0"/>
              <w:adjustRightInd w:val="0"/>
              <w:jc w:val="both"/>
              <w:rPr>
                <w:rFonts w:ascii="Verdana" w:hAnsi="Verdana" w:cs="Arial"/>
                <w:sz w:val="24"/>
                <w:szCs w:val="24"/>
              </w:rPr>
            </w:pPr>
            <w:r w:rsidRPr="00224519">
              <w:rPr>
                <w:rFonts w:ascii="Verdana" w:hAnsi="Verdana" w:cs="Verdana"/>
                <w:sz w:val="24"/>
                <w:szCs w:val="24"/>
              </w:rPr>
              <w:t>No implications arising directly from this report.</w:t>
            </w:r>
          </w:p>
        </w:tc>
      </w:tr>
      <w:tr w:rsidR="00F74319" w:rsidRPr="00224519" w:rsidTr="00C0354F">
        <w:trPr>
          <w:trHeight w:val="425"/>
        </w:trPr>
        <w:tc>
          <w:tcPr>
            <w:tcW w:w="3060" w:type="dxa"/>
            <w:gridSpan w:val="4"/>
            <w:tcBorders>
              <w:top w:val="single" w:sz="4" w:space="0" w:color="auto"/>
              <w:left w:val="single" w:sz="4" w:space="0" w:color="auto"/>
              <w:bottom w:val="single" w:sz="4" w:space="0" w:color="auto"/>
              <w:right w:val="single" w:sz="4" w:space="0" w:color="auto"/>
            </w:tcBorders>
            <w:shd w:val="clear" w:color="auto" w:fill="E6E6E6"/>
          </w:tcPr>
          <w:p w:rsidR="00F74319" w:rsidRPr="00224519" w:rsidRDefault="00F74319" w:rsidP="00F74319">
            <w:pPr>
              <w:rPr>
                <w:rFonts w:ascii="Verdana" w:hAnsi="Verdana" w:cs="Arial"/>
                <w:b/>
                <w:sz w:val="24"/>
                <w:szCs w:val="24"/>
              </w:rPr>
            </w:pPr>
            <w:r w:rsidRPr="00224519">
              <w:rPr>
                <w:rFonts w:ascii="Verdana" w:hAnsi="Verdana" w:cs="Arial"/>
                <w:b/>
                <w:sz w:val="24"/>
                <w:szCs w:val="24"/>
              </w:rPr>
              <w:t>Legal implications</w:t>
            </w:r>
          </w:p>
        </w:tc>
        <w:tc>
          <w:tcPr>
            <w:tcW w:w="6228" w:type="dxa"/>
            <w:gridSpan w:val="7"/>
            <w:tcBorders>
              <w:top w:val="single" w:sz="4" w:space="0" w:color="auto"/>
              <w:left w:val="single" w:sz="4" w:space="0" w:color="auto"/>
              <w:bottom w:val="single" w:sz="4" w:space="0" w:color="auto"/>
              <w:right w:val="single" w:sz="4" w:space="0" w:color="auto"/>
            </w:tcBorders>
          </w:tcPr>
          <w:p w:rsidR="00F74319" w:rsidRPr="00224519" w:rsidRDefault="00F74319" w:rsidP="00224519">
            <w:pPr>
              <w:jc w:val="both"/>
              <w:rPr>
                <w:rFonts w:ascii="Verdana" w:hAnsi="Verdana" w:cs="Arial"/>
                <w:sz w:val="24"/>
                <w:szCs w:val="24"/>
              </w:rPr>
            </w:pPr>
            <w:r w:rsidRPr="00224519">
              <w:rPr>
                <w:rFonts w:ascii="Verdana" w:hAnsi="Verdana" w:cs="Arial"/>
                <w:sz w:val="24"/>
                <w:szCs w:val="24"/>
              </w:rPr>
              <w:t>There are no legal implications ar</w:t>
            </w:r>
            <w:r w:rsidR="007C5A56" w:rsidRPr="00224519">
              <w:rPr>
                <w:rFonts w:ascii="Verdana" w:hAnsi="Verdana" w:cs="Arial"/>
                <w:sz w:val="24"/>
                <w:szCs w:val="24"/>
              </w:rPr>
              <w:t>ising directly from this report</w:t>
            </w:r>
            <w:r w:rsidRPr="00224519">
              <w:rPr>
                <w:rFonts w:ascii="Verdana" w:hAnsi="Verdana" w:cs="Arial"/>
                <w:sz w:val="24"/>
                <w:szCs w:val="24"/>
              </w:rPr>
              <w:t>.</w:t>
            </w:r>
          </w:p>
        </w:tc>
      </w:tr>
      <w:tr w:rsidR="00F74319" w:rsidRPr="00224519" w:rsidTr="00C0354F">
        <w:trPr>
          <w:trHeight w:val="425"/>
        </w:trPr>
        <w:tc>
          <w:tcPr>
            <w:tcW w:w="3060" w:type="dxa"/>
            <w:gridSpan w:val="4"/>
            <w:tcBorders>
              <w:top w:val="single" w:sz="4" w:space="0" w:color="auto"/>
              <w:left w:val="single" w:sz="4" w:space="0" w:color="auto"/>
              <w:bottom w:val="single" w:sz="4" w:space="0" w:color="auto"/>
              <w:right w:val="single" w:sz="4" w:space="0" w:color="auto"/>
            </w:tcBorders>
            <w:shd w:val="clear" w:color="auto" w:fill="E6E6E6"/>
          </w:tcPr>
          <w:p w:rsidR="00F74319" w:rsidRPr="00224519" w:rsidRDefault="00F74319" w:rsidP="00F74319">
            <w:pPr>
              <w:rPr>
                <w:rFonts w:ascii="Verdana" w:hAnsi="Verdana" w:cs="Arial"/>
                <w:b/>
                <w:sz w:val="24"/>
                <w:szCs w:val="24"/>
              </w:rPr>
            </w:pPr>
            <w:r w:rsidRPr="00224519">
              <w:rPr>
                <w:rFonts w:ascii="Verdana" w:hAnsi="Verdana" w:cs="Arial"/>
                <w:b/>
                <w:sz w:val="24"/>
                <w:szCs w:val="24"/>
              </w:rPr>
              <w:t>Population Health</w:t>
            </w:r>
          </w:p>
        </w:tc>
        <w:tc>
          <w:tcPr>
            <w:tcW w:w="6228" w:type="dxa"/>
            <w:gridSpan w:val="7"/>
            <w:tcBorders>
              <w:top w:val="single" w:sz="4" w:space="0" w:color="auto"/>
              <w:left w:val="single" w:sz="4" w:space="0" w:color="auto"/>
              <w:bottom w:val="single" w:sz="4" w:space="0" w:color="auto"/>
              <w:right w:val="single" w:sz="4" w:space="0" w:color="auto"/>
            </w:tcBorders>
          </w:tcPr>
          <w:p w:rsidR="00C419B3" w:rsidRPr="00224519" w:rsidRDefault="0017564E" w:rsidP="00224519">
            <w:pPr>
              <w:jc w:val="both"/>
              <w:rPr>
                <w:rFonts w:ascii="Verdana" w:hAnsi="Verdana" w:cs="Arial"/>
                <w:sz w:val="24"/>
                <w:szCs w:val="24"/>
              </w:rPr>
            </w:pPr>
            <w:r w:rsidRPr="00224519">
              <w:rPr>
                <w:rFonts w:ascii="Verdana" w:hAnsi="Verdana" w:cs="Arial"/>
                <w:sz w:val="24"/>
                <w:szCs w:val="24"/>
              </w:rPr>
              <w:t>The EMS and NEPTS commissioning intentions are designed to improve population health through improved emergency and non-emergency ambulance services e.g. response times to emergencies, improved performance times for renal etc</w:t>
            </w:r>
            <w:r w:rsidR="00C419B3" w:rsidRPr="00224519">
              <w:rPr>
                <w:rFonts w:ascii="Verdana" w:hAnsi="Verdana" w:cs="Arial"/>
                <w:sz w:val="24"/>
                <w:szCs w:val="24"/>
              </w:rPr>
              <w:t>.</w:t>
            </w:r>
          </w:p>
        </w:tc>
      </w:tr>
      <w:tr w:rsidR="00F74319" w:rsidRPr="00224519" w:rsidTr="00C0354F">
        <w:trPr>
          <w:trHeight w:val="833"/>
        </w:trPr>
        <w:tc>
          <w:tcPr>
            <w:tcW w:w="3060" w:type="dxa"/>
            <w:gridSpan w:val="4"/>
            <w:tcBorders>
              <w:top w:val="single" w:sz="4" w:space="0" w:color="auto"/>
              <w:left w:val="single" w:sz="4" w:space="0" w:color="auto"/>
              <w:bottom w:val="single" w:sz="4" w:space="0" w:color="auto"/>
              <w:right w:val="single" w:sz="4" w:space="0" w:color="auto"/>
            </w:tcBorders>
            <w:shd w:val="clear" w:color="auto" w:fill="E6E6E6"/>
          </w:tcPr>
          <w:p w:rsidR="00F74319" w:rsidRPr="00224519" w:rsidRDefault="00F74319" w:rsidP="00F74319">
            <w:pPr>
              <w:rPr>
                <w:rFonts w:ascii="Verdana" w:hAnsi="Verdana" w:cs="Arial"/>
                <w:b/>
                <w:sz w:val="24"/>
                <w:szCs w:val="24"/>
              </w:rPr>
            </w:pPr>
            <w:r w:rsidRPr="00224519">
              <w:rPr>
                <w:rFonts w:ascii="Verdana" w:hAnsi="Verdana" w:cs="Arial"/>
                <w:b/>
                <w:sz w:val="24"/>
                <w:szCs w:val="24"/>
              </w:rPr>
              <w:t xml:space="preserve">Quality, Safety &amp; Patient Experience </w:t>
            </w:r>
          </w:p>
        </w:tc>
        <w:tc>
          <w:tcPr>
            <w:tcW w:w="6228" w:type="dxa"/>
            <w:gridSpan w:val="7"/>
            <w:tcBorders>
              <w:top w:val="single" w:sz="4" w:space="0" w:color="auto"/>
              <w:left w:val="single" w:sz="4" w:space="0" w:color="auto"/>
              <w:bottom w:val="single" w:sz="4" w:space="0" w:color="auto"/>
              <w:right w:val="single" w:sz="4" w:space="0" w:color="auto"/>
            </w:tcBorders>
          </w:tcPr>
          <w:p w:rsidR="00F74319" w:rsidRPr="00224519" w:rsidRDefault="007C5A56" w:rsidP="00224519">
            <w:pPr>
              <w:jc w:val="both"/>
              <w:rPr>
                <w:rFonts w:ascii="Verdana" w:hAnsi="Verdana" w:cs="Arial"/>
                <w:sz w:val="24"/>
                <w:szCs w:val="24"/>
              </w:rPr>
            </w:pPr>
            <w:r w:rsidRPr="00224519">
              <w:rPr>
                <w:rFonts w:ascii="Verdana" w:hAnsi="Verdana" w:cs="Arial"/>
                <w:sz w:val="24"/>
                <w:szCs w:val="24"/>
              </w:rPr>
              <w:t>The core requirements s</w:t>
            </w:r>
            <w:r w:rsidR="00C419B3" w:rsidRPr="00224519">
              <w:rPr>
                <w:rFonts w:ascii="Verdana" w:hAnsi="Verdana" w:cs="Arial"/>
                <w:sz w:val="24"/>
                <w:szCs w:val="24"/>
              </w:rPr>
              <w:t>elf-assessment is the key mechanism for the commissioning framework to assess arrangements for quality, safety and patient experience.</w:t>
            </w:r>
            <w:r w:rsidR="0017564E" w:rsidRPr="00224519">
              <w:rPr>
                <w:rFonts w:ascii="Verdana" w:hAnsi="Verdana" w:cs="Arial"/>
                <w:sz w:val="24"/>
                <w:szCs w:val="24"/>
              </w:rPr>
              <w:t xml:space="preserve">  A self-assessment against the core requirements is a commissioning intention for both EMS and NEPTS.</w:t>
            </w:r>
          </w:p>
        </w:tc>
      </w:tr>
      <w:tr w:rsidR="00F74319" w:rsidRPr="00224519" w:rsidTr="00C0354F">
        <w:trPr>
          <w:trHeight w:val="425"/>
        </w:trPr>
        <w:tc>
          <w:tcPr>
            <w:tcW w:w="3060" w:type="dxa"/>
            <w:gridSpan w:val="4"/>
            <w:tcBorders>
              <w:top w:val="single" w:sz="4" w:space="0" w:color="auto"/>
              <w:left w:val="single" w:sz="4" w:space="0" w:color="auto"/>
              <w:bottom w:val="single" w:sz="4" w:space="0" w:color="auto"/>
              <w:right w:val="single" w:sz="4" w:space="0" w:color="auto"/>
            </w:tcBorders>
            <w:shd w:val="clear" w:color="auto" w:fill="E6E6E6"/>
          </w:tcPr>
          <w:p w:rsidR="00F74319" w:rsidRPr="00224519" w:rsidRDefault="00F74319" w:rsidP="00F74319">
            <w:pPr>
              <w:rPr>
                <w:rFonts w:ascii="Verdana" w:hAnsi="Verdana" w:cs="Arial"/>
                <w:b/>
                <w:sz w:val="24"/>
                <w:szCs w:val="24"/>
              </w:rPr>
            </w:pPr>
            <w:r w:rsidRPr="00224519">
              <w:rPr>
                <w:rFonts w:ascii="Verdana" w:hAnsi="Verdana" w:cs="Arial"/>
                <w:b/>
                <w:sz w:val="24"/>
                <w:szCs w:val="24"/>
              </w:rPr>
              <w:t>Resources</w:t>
            </w:r>
          </w:p>
        </w:tc>
        <w:tc>
          <w:tcPr>
            <w:tcW w:w="6228" w:type="dxa"/>
            <w:gridSpan w:val="7"/>
            <w:tcBorders>
              <w:top w:val="single" w:sz="4" w:space="0" w:color="auto"/>
              <w:left w:val="single" w:sz="4" w:space="0" w:color="auto"/>
              <w:bottom w:val="single" w:sz="4" w:space="0" w:color="auto"/>
              <w:right w:val="single" w:sz="4" w:space="0" w:color="auto"/>
            </w:tcBorders>
          </w:tcPr>
          <w:p w:rsidR="00F74319" w:rsidRPr="00224519" w:rsidRDefault="007C5A56" w:rsidP="00224519">
            <w:pPr>
              <w:jc w:val="both"/>
              <w:rPr>
                <w:rFonts w:ascii="Verdana" w:hAnsi="Verdana" w:cs="Arial"/>
                <w:sz w:val="24"/>
                <w:szCs w:val="24"/>
              </w:rPr>
            </w:pPr>
            <w:r w:rsidRPr="00224519">
              <w:rPr>
                <w:rFonts w:ascii="Verdana" w:hAnsi="Verdana" w:cs="Arial"/>
                <w:sz w:val="24"/>
                <w:szCs w:val="24"/>
              </w:rPr>
              <w:t xml:space="preserve">The commissioning intentions include agreement of the </w:t>
            </w:r>
            <w:r w:rsidR="0017564E" w:rsidRPr="00224519">
              <w:rPr>
                <w:rFonts w:ascii="Verdana" w:hAnsi="Verdana" w:cs="Arial"/>
                <w:sz w:val="24"/>
                <w:szCs w:val="24"/>
              </w:rPr>
              <w:t>financial value payable to WAST for EMS and NEPTS.</w:t>
            </w:r>
          </w:p>
        </w:tc>
      </w:tr>
      <w:tr w:rsidR="00F74319" w:rsidRPr="00224519" w:rsidTr="00C0354F">
        <w:trPr>
          <w:trHeight w:val="425"/>
        </w:trPr>
        <w:tc>
          <w:tcPr>
            <w:tcW w:w="3060" w:type="dxa"/>
            <w:gridSpan w:val="4"/>
            <w:tcBorders>
              <w:top w:val="single" w:sz="4" w:space="0" w:color="auto"/>
              <w:left w:val="single" w:sz="4" w:space="0" w:color="auto"/>
              <w:bottom w:val="single" w:sz="4" w:space="0" w:color="auto"/>
              <w:right w:val="single" w:sz="4" w:space="0" w:color="auto"/>
            </w:tcBorders>
            <w:shd w:val="clear" w:color="auto" w:fill="E6E6E6"/>
          </w:tcPr>
          <w:p w:rsidR="00F74319" w:rsidRPr="00224519" w:rsidRDefault="00F74319" w:rsidP="00F74319">
            <w:pPr>
              <w:rPr>
                <w:rFonts w:ascii="Verdana" w:hAnsi="Verdana" w:cs="Arial"/>
                <w:b/>
                <w:bCs/>
                <w:sz w:val="24"/>
                <w:szCs w:val="24"/>
              </w:rPr>
            </w:pPr>
            <w:r w:rsidRPr="00224519">
              <w:rPr>
                <w:rFonts w:ascii="Verdana" w:hAnsi="Verdana" w:cs="Arial"/>
                <w:b/>
                <w:sz w:val="24"/>
                <w:szCs w:val="24"/>
              </w:rPr>
              <w:t xml:space="preserve">Risks and Assurance </w:t>
            </w:r>
          </w:p>
        </w:tc>
        <w:tc>
          <w:tcPr>
            <w:tcW w:w="6228" w:type="dxa"/>
            <w:gridSpan w:val="7"/>
            <w:tcBorders>
              <w:top w:val="single" w:sz="4" w:space="0" w:color="auto"/>
              <w:left w:val="single" w:sz="4" w:space="0" w:color="auto"/>
              <w:bottom w:val="single" w:sz="4" w:space="0" w:color="auto"/>
              <w:right w:val="single" w:sz="4" w:space="0" w:color="auto"/>
            </w:tcBorders>
          </w:tcPr>
          <w:p w:rsidR="00F74319" w:rsidRPr="00224519" w:rsidRDefault="00C419B3" w:rsidP="00224519">
            <w:pPr>
              <w:pStyle w:val="NoSpacing"/>
              <w:jc w:val="both"/>
              <w:rPr>
                <w:rFonts w:ascii="Verdana" w:hAnsi="Verdana" w:cs="Arial"/>
                <w:sz w:val="24"/>
                <w:szCs w:val="24"/>
              </w:rPr>
            </w:pPr>
            <w:r w:rsidRPr="00224519">
              <w:rPr>
                <w:rFonts w:ascii="Verdana" w:hAnsi="Verdana" w:cs="Arial"/>
                <w:sz w:val="24"/>
                <w:szCs w:val="24"/>
              </w:rPr>
              <w:t>WAST maintains a</w:t>
            </w:r>
            <w:r w:rsidR="00F74319" w:rsidRPr="00224519">
              <w:rPr>
                <w:rFonts w:ascii="Verdana" w:hAnsi="Verdana" w:cs="Arial"/>
                <w:sz w:val="24"/>
                <w:szCs w:val="24"/>
              </w:rPr>
              <w:t xml:space="preserve"> Risk Management Framewo</w:t>
            </w:r>
            <w:r w:rsidRPr="00224519">
              <w:rPr>
                <w:rFonts w:ascii="Verdana" w:hAnsi="Verdana" w:cs="Arial"/>
                <w:sz w:val="24"/>
                <w:szCs w:val="24"/>
              </w:rPr>
              <w:t>rk and Corporate Risk Register, which includes the commissioning arrangements.</w:t>
            </w:r>
          </w:p>
        </w:tc>
      </w:tr>
      <w:tr w:rsidR="00F74319" w:rsidRPr="00224519" w:rsidTr="00C0354F">
        <w:trPr>
          <w:trHeight w:val="425"/>
        </w:trPr>
        <w:tc>
          <w:tcPr>
            <w:tcW w:w="3060" w:type="dxa"/>
            <w:gridSpan w:val="4"/>
            <w:tcBorders>
              <w:top w:val="single" w:sz="4" w:space="0" w:color="auto"/>
              <w:left w:val="single" w:sz="4" w:space="0" w:color="auto"/>
              <w:bottom w:val="single" w:sz="4" w:space="0" w:color="auto"/>
              <w:right w:val="single" w:sz="4" w:space="0" w:color="auto"/>
            </w:tcBorders>
            <w:shd w:val="clear" w:color="auto" w:fill="E6E6E6"/>
          </w:tcPr>
          <w:p w:rsidR="00F74319" w:rsidRPr="00224519" w:rsidRDefault="00F74319" w:rsidP="00F74319">
            <w:pPr>
              <w:rPr>
                <w:rFonts w:ascii="Verdana" w:hAnsi="Verdana" w:cs="Arial"/>
                <w:b/>
                <w:sz w:val="24"/>
                <w:szCs w:val="24"/>
              </w:rPr>
            </w:pPr>
            <w:r w:rsidRPr="00224519">
              <w:rPr>
                <w:rFonts w:ascii="Verdana" w:hAnsi="Verdana" w:cs="Arial"/>
                <w:b/>
                <w:sz w:val="24"/>
                <w:szCs w:val="24"/>
              </w:rPr>
              <w:t>Health &amp; Care Standards</w:t>
            </w:r>
          </w:p>
        </w:tc>
        <w:tc>
          <w:tcPr>
            <w:tcW w:w="6228" w:type="dxa"/>
            <w:gridSpan w:val="7"/>
            <w:tcBorders>
              <w:top w:val="single" w:sz="4" w:space="0" w:color="auto"/>
              <w:left w:val="single" w:sz="4" w:space="0" w:color="auto"/>
              <w:bottom w:val="single" w:sz="4" w:space="0" w:color="auto"/>
              <w:right w:val="single" w:sz="4" w:space="0" w:color="auto"/>
            </w:tcBorders>
          </w:tcPr>
          <w:p w:rsidR="00F74319" w:rsidRPr="00224519" w:rsidRDefault="00F74319" w:rsidP="00224519">
            <w:pPr>
              <w:jc w:val="both"/>
              <w:rPr>
                <w:rFonts w:ascii="Verdana" w:hAnsi="Verdana" w:cs="Arial"/>
                <w:sz w:val="24"/>
                <w:szCs w:val="24"/>
              </w:rPr>
            </w:pPr>
            <w:r w:rsidRPr="00224519">
              <w:rPr>
                <w:rFonts w:ascii="Verdana" w:hAnsi="Verdana" w:cs="Arial"/>
                <w:sz w:val="24"/>
                <w:szCs w:val="24"/>
              </w:rPr>
              <w:t>The 22 Health &amp; Care Standards for NHS Wales are mapped into the 7 Quality Themes:</w:t>
            </w:r>
          </w:p>
          <w:p w:rsidR="00F74319" w:rsidRPr="00224519" w:rsidRDefault="00F74319" w:rsidP="00224519">
            <w:pPr>
              <w:jc w:val="both"/>
              <w:rPr>
                <w:rFonts w:ascii="Verdana" w:hAnsi="Verdana" w:cs="Arial"/>
                <w:sz w:val="24"/>
                <w:szCs w:val="24"/>
              </w:rPr>
            </w:pPr>
            <w:r w:rsidRPr="00224519">
              <w:rPr>
                <w:rFonts w:ascii="Verdana" w:hAnsi="Verdana" w:cs="Arial"/>
                <w:sz w:val="24"/>
                <w:szCs w:val="24"/>
              </w:rPr>
              <w:t>Staying Healthy; Safe Care; Effective Care; Dignified Care; Timely Care; Individual Care; Staff &amp; Resources</w:t>
            </w:r>
          </w:p>
          <w:p w:rsidR="00F74319" w:rsidRPr="00224519" w:rsidRDefault="00F83D1A" w:rsidP="00224519">
            <w:pPr>
              <w:jc w:val="both"/>
              <w:rPr>
                <w:rFonts w:ascii="Verdana" w:hAnsi="Verdana" w:cs="Arial"/>
                <w:sz w:val="24"/>
                <w:szCs w:val="24"/>
              </w:rPr>
            </w:pPr>
            <w:hyperlink r:id="rId10" w:history="1">
              <w:r w:rsidR="00F74319" w:rsidRPr="00224519">
                <w:rPr>
                  <w:rStyle w:val="Hyperlink"/>
                  <w:rFonts w:ascii="Verdana" w:hAnsi="Verdana" w:cs="Arial"/>
                  <w:sz w:val="24"/>
                  <w:szCs w:val="24"/>
                </w:rPr>
                <w:t>http://www.wales.nhs.uk/sitesplus/documents/1064/24729_Health%20Standards%20Framework_2015_E1.pdf</w:t>
              </w:r>
            </w:hyperlink>
            <w:r w:rsidR="00F74319" w:rsidRPr="00224519">
              <w:rPr>
                <w:rFonts w:ascii="Verdana" w:hAnsi="Verdana" w:cs="Arial"/>
                <w:sz w:val="24"/>
                <w:szCs w:val="24"/>
              </w:rPr>
              <w:t xml:space="preserve"> .  </w:t>
            </w:r>
            <w:r w:rsidR="00C419B3" w:rsidRPr="00224519">
              <w:rPr>
                <w:rFonts w:ascii="Verdana" w:hAnsi="Verdana" w:cs="Arial"/>
                <w:sz w:val="24"/>
                <w:szCs w:val="24"/>
              </w:rPr>
              <w:t>The report will relate to all of the themes.</w:t>
            </w:r>
          </w:p>
        </w:tc>
      </w:tr>
      <w:tr w:rsidR="00F74319" w:rsidRPr="00224519" w:rsidTr="00C0354F">
        <w:trPr>
          <w:trHeight w:val="425"/>
        </w:trPr>
        <w:tc>
          <w:tcPr>
            <w:tcW w:w="3060" w:type="dxa"/>
            <w:gridSpan w:val="4"/>
            <w:tcBorders>
              <w:top w:val="single" w:sz="4" w:space="0" w:color="auto"/>
              <w:left w:val="single" w:sz="4" w:space="0" w:color="auto"/>
              <w:bottom w:val="single" w:sz="4" w:space="0" w:color="auto"/>
              <w:right w:val="single" w:sz="4" w:space="0" w:color="auto"/>
            </w:tcBorders>
            <w:shd w:val="clear" w:color="auto" w:fill="E6E6E6"/>
          </w:tcPr>
          <w:p w:rsidR="00F74319" w:rsidRPr="00224519" w:rsidRDefault="00F74319" w:rsidP="00F74319">
            <w:pPr>
              <w:rPr>
                <w:rFonts w:ascii="Verdana" w:hAnsi="Verdana" w:cs="Arial"/>
                <w:b/>
                <w:sz w:val="24"/>
                <w:szCs w:val="24"/>
              </w:rPr>
            </w:pPr>
            <w:r w:rsidRPr="00224519">
              <w:rPr>
                <w:rFonts w:ascii="Verdana" w:hAnsi="Verdana" w:cs="Arial"/>
                <w:b/>
                <w:sz w:val="24"/>
                <w:szCs w:val="24"/>
              </w:rPr>
              <w:t>Workforce</w:t>
            </w:r>
          </w:p>
        </w:tc>
        <w:tc>
          <w:tcPr>
            <w:tcW w:w="6228" w:type="dxa"/>
            <w:gridSpan w:val="7"/>
            <w:tcBorders>
              <w:top w:val="single" w:sz="4" w:space="0" w:color="auto"/>
              <w:left w:val="single" w:sz="4" w:space="0" w:color="auto"/>
              <w:bottom w:val="single" w:sz="4" w:space="0" w:color="auto"/>
              <w:right w:val="single" w:sz="4" w:space="0" w:color="auto"/>
            </w:tcBorders>
          </w:tcPr>
          <w:p w:rsidR="00F74319" w:rsidRPr="00224519" w:rsidRDefault="007C5A56" w:rsidP="00F74319">
            <w:pPr>
              <w:rPr>
                <w:rFonts w:ascii="Verdana" w:hAnsi="Verdana" w:cs="Arial"/>
                <w:sz w:val="24"/>
                <w:szCs w:val="24"/>
              </w:rPr>
            </w:pPr>
            <w:r w:rsidRPr="00224519">
              <w:rPr>
                <w:rFonts w:ascii="Verdana" w:hAnsi="Verdana" w:cs="Arial"/>
                <w:sz w:val="24"/>
                <w:szCs w:val="24"/>
              </w:rPr>
              <w:t>There are various workforce related commissioning intentions, for example reducing sickness absence levels.</w:t>
            </w:r>
          </w:p>
        </w:tc>
      </w:tr>
      <w:tr w:rsidR="00F74319" w:rsidRPr="00224519" w:rsidTr="00C0354F">
        <w:trPr>
          <w:trHeight w:val="425"/>
        </w:trPr>
        <w:tc>
          <w:tcPr>
            <w:tcW w:w="3060" w:type="dxa"/>
            <w:gridSpan w:val="4"/>
            <w:tcBorders>
              <w:top w:val="single" w:sz="4" w:space="0" w:color="auto"/>
              <w:left w:val="single" w:sz="4" w:space="0" w:color="auto"/>
              <w:bottom w:val="single" w:sz="4" w:space="0" w:color="auto"/>
              <w:right w:val="single" w:sz="4" w:space="0" w:color="auto"/>
            </w:tcBorders>
            <w:shd w:val="clear" w:color="auto" w:fill="E6E6E6"/>
          </w:tcPr>
          <w:p w:rsidR="00F74319" w:rsidRPr="00224519" w:rsidRDefault="00F74319" w:rsidP="00F74319">
            <w:pPr>
              <w:rPr>
                <w:rFonts w:ascii="Verdana" w:hAnsi="Verdana" w:cs="Arial"/>
                <w:b/>
                <w:sz w:val="24"/>
                <w:szCs w:val="24"/>
              </w:rPr>
            </w:pPr>
            <w:r w:rsidRPr="00224519">
              <w:rPr>
                <w:rFonts w:ascii="Verdana" w:hAnsi="Verdana" w:cs="Arial"/>
                <w:b/>
                <w:sz w:val="24"/>
                <w:szCs w:val="24"/>
              </w:rPr>
              <w:t>Freedom of information status</w:t>
            </w:r>
          </w:p>
        </w:tc>
        <w:tc>
          <w:tcPr>
            <w:tcW w:w="6228" w:type="dxa"/>
            <w:gridSpan w:val="7"/>
            <w:tcBorders>
              <w:top w:val="single" w:sz="4" w:space="0" w:color="auto"/>
              <w:left w:val="single" w:sz="4" w:space="0" w:color="auto"/>
              <w:bottom w:val="single" w:sz="4" w:space="0" w:color="auto"/>
              <w:right w:val="single" w:sz="4" w:space="0" w:color="auto"/>
            </w:tcBorders>
          </w:tcPr>
          <w:p w:rsidR="00F74319" w:rsidRPr="00224519" w:rsidRDefault="00F74319" w:rsidP="00F74319">
            <w:pPr>
              <w:rPr>
                <w:rFonts w:ascii="Verdana" w:hAnsi="Verdana" w:cs="Arial"/>
                <w:sz w:val="24"/>
                <w:szCs w:val="24"/>
              </w:rPr>
            </w:pPr>
            <w:r w:rsidRPr="00224519">
              <w:rPr>
                <w:rFonts w:ascii="Verdana" w:hAnsi="Verdana" w:cs="Arial"/>
                <w:sz w:val="24"/>
                <w:szCs w:val="24"/>
              </w:rPr>
              <w:t xml:space="preserve">Open </w:t>
            </w:r>
          </w:p>
        </w:tc>
      </w:tr>
    </w:tbl>
    <w:p w:rsidR="00F74319" w:rsidRPr="00224519" w:rsidRDefault="00F74319" w:rsidP="00A9059F">
      <w:pPr>
        <w:rPr>
          <w:rFonts w:ascii="Verdana" w:hAnsi="Verdana" w:cs="Arial"/>
          <w:b/>
          <w:sz w:val="24"/>
          <w:szCs w:val="24"/>
        </w:rPr>
      </w:pPr>
    </w:p>
    <w:p w:rsidR="00224519" w:rsidRDefault="00224519" w:rsidP="00A9059F">
      <w:pPr>
        <w:rPr>
          <w:rFonts w:ascii="Verdana" w:hAnsi="Verdana" w:cs="Arial"/>
          <w:b/>
          <w:sz w:val="24"/>
          <w:szCs w:val="24"/>
        </w:rPr>
      </w:pPr>
    </w:p>
    <w:p w:rsidR="00224519" w:rsidRDefault="00224519" w:rsidP="00A9059F">
      <w:pPr>
        <w:rPr>
          <w:rFonts w:ascii="Verdana" w:hAnsi="Verdana" w:cs="Arial"/>
          <w:b/>
          <w:sz w:val="24"/>
          <w:szCs w:val="24"/>
        </w:rPr>
      </w:pPr>
    </w:p>
    <w:p w:rsidR="00A9059F" w:rsidRPr="00224519" w:rsidRDefault="00A9059F" w:rsidP="00A9059F">
      <w:pPr>
        <w:rPr>
          <w:rFonts w:ascii="Verdana" w:hAnsi="Verdana" w:cs="Arial"/>
          <w:b/>
          <w:sz w:val="24"/>
          <w:szCs w:val="24"/>
        </w:rPr>
      </w:pPr>
      <w:r w:rsidRPr="00224519">
        <w:rPr>
          <w:rFonts w:ascii="Verdana" w:hAnsi="Verdana" w:cs="Arial"/>
          <w:b/>
          <w:sz w:val="24"/>
          <w:szCs w:val="24"/>
        </w:rPr>
        <w:lastRenderedPageBreak/>
        <w:t>SITUATION</w:t>
      </w:r>
    </w:p>
    <w:p w:rsidR="00A9059F" w:rsidRPr="00224519" w:rsidRDefault="00A9059F" w:rsidP="00A9059F">
      <w:pPr>
        <w:rPr>
          <w:rFonts w:ascii="Verdana" w:hAnsi="Verdana" w:cs="Arial"/>
          <w:b/>
          <w:sz w:val="24"/>
          <w:szCs w:val="24"/>
        </w:rPr>
      </w:pPr>
    </w:p>
    <w:p w:rsidR="002A761D" w:rsidRPr="00224519" w:rsidRDefault="007C5A56" w:rsidP="00156E65">
      <w:pPr>
        <w:pStyle w:val="ListParagraph"/>
        <w:numPr>
          <w:ilvl w:val="0"/>
          <w:numId w:val="1"/>
        </w:numPr>
        <w:ind w:left="426" w:hanging="426"/>
        <w:jc w:val="both"/>
        <w:rPr>
          <w:rFonts w:ascii="Verdana" w:hAnsi="Verdana" w:cs="Arial"/>
          <w:sz w:val="24"/>
          <w:szCs w:val="24"/>
        </w:rPr>
      </w:pPr>
      <w:r w:rsidRPr="00224519">
        <w:rPr>
          <w:rFonts w:ascii="Verdana" w:hAnsi="Verdana" w:cs="Arial"/>
          <w:sz w:val="24"/>
          <w:szCs w:val="24"/>
        </w:rPr>
        <w:t>The purpose of this report is to provide EASC with WAST</w:t>
      </w:r>
      <w:r w:rsidR="0017564E" w:rsidRPr="00224519">
        <w:rPr>
          <w:rFonts w:ascii="Verdana" w:hAnsi="Verdana" w:cs="Arial"/>
          <w:sz w:val="24"/>
          <w:szCs w:val="24"/>
        </w:rPr>
        <w:t>’s</w:t>
      </w:r>
      <w:r w:rsidRPr="00224519">
        <w:rPr>
          <w:rFonts w:ascii="Verdana" w:hAnsi="Verdana" w:cs="Arial"/>
          <w:sz w:val="24"/>
          <w:szCs w:val="24"/>
        </w:rPr>
        <w:t xml:space="preserve"> response to the Nov-2019 </w:t>
      </w:r>
      <w:r w:rsidR="00C419B3" w:rsidRPr="00224519">
        <w:rPr>
          <w:rFonts w:ascii="Verdana" w:hAnsi="Verdana" w:cs="Arial"/>
          <w:sz w:val="24"/>
          <w:szCs w:val="24"/>
        </w:rPr>
        <w:t>NCCU</w:t>
      </w:r>
      <w:r w:rsidRPr="00224519">
        <w:rPr>
          <w:rFonts w:ascii="Verdana" w:hAnsi="Verdana" w:cs="Arial"/>
          <w:sz w:val="24"/>
          <w:szCs w:val="24"/>
        </w:rPr>
        <w:t xml:space="preserve"> paper on progress against the 2019/20 </w:t>
      </w:r>
      <w:r w:rsidR="0017564E" w:rsidRPr="00224519">
        <w:rPr>
          <w:rFonts w:ascii="Verdana" w:hAnsi="Verdana" w:cs="Arial"/>
          <w:sz w:val="24"/>
          <w:szCs w:val="24"/>
        </w:rPr>
        <w:t xml:space="preserve">EMS and NEPTS </w:t>
      </w:r>
      <w:r w:rsidRPr="00224519">
        <w:rPr>
          <w:rFonts w:ascii="Verdana" w:hAnsi="Verdana" w:cs="Arial"/>
          <w:sz w:val="24"/>
          <w:szCs w:val="24"/>
        </w:rPr>
        <w:t>commissioning intentions</w:t>
      </w:r>
      <w:r w:rsidR="00B77233" w:rsidRPr="00224519">
        <w:rPr>
          <w:rFonts w:ascii="Verdana" w:hAnsi="Verdana" w:cs="Arial"/>
          <w:sz w:val="24"/>
          <w:szCs w:val="24"/>
        </w:rPr>
        <w:t>.</w:t>
      </w:r>
    </w:p>
    <w:p w:rsidR="007C0069" w:rsidRPr="00224519" w:rsidRDefault="007C0069" w:rsidP="002A761D">
      <w:pPr>
        <w:rPr>
          <w:rFonts w:ascii="Verdana" w:hAnsi="Verdana" w:cs="Arial"/>
          <w:sz w:val="24"/>
          <w:szCs w:val="24"/>
        </w:rPr>
      </w:pPr>
    </w:p>
    <w:p w:rsidR="00A9059F" w:rsidRPr="00224519" w:rsidRDefault="00A9059F" w:rsidP="00A9059F">
      <w:pPr>
        <w:jc w:val="both"/>
        <w:rPr>
          <w:rFonts w:ascii="Verdana" w:hAnsi="Verdana" w:cs="Arial"/>
          <w:b/>
          <w:sz w:val="24"/>
          <w:szCs w:val="24"/>
        </w:rPr>
      </w:pPr>
      <w:r w:rsidRPr="00224519">
        <w:rPr>
          <w:rFonts w:ascii="Verdana" w:hAnsi="Verdana" w:cs="Arial"/>
          <w:b/>
          <w:sz w:val="24"/>
          <w:szCs w:val="24"/>
        </w:rPr>
        <w:t>BACKGROUND</w:t>
      </w:r>
    </w:p>
    <w:p w:rsidR="00A9059F" w:rsidRPr="00224519" w:rsidRDefault="00A9059F" w:rsidP="00A9059F">
      <w:pPr>
        <w:pStyle w:val="ListParagraph"/>
        <w:rPr>
          <w:rFonts w:ascii="Verdana" w:hAnsi="Verdana" w:cs="Arial"/>
          <w:sz w:val="24"/>
          <w:szCs w:val="24"/>
        </w:rPr>
      </w:pPr>
    </w:p>
    <w:p w:rsidR="00A9059F" w:rsidRPr="00224519" w:rsidRDefault="00147404" w:rsidP="00156E65">
      <w:pPr>
        <w:pStyle w:val="ListParagraph"/>
        <w:numPr>
          <w:ilvl w:val="0"/>
          <w:numId w:val="1"/>
        </w:numPr>
        <w:ind w:left="426" w:hanging="426"/>
        <w:jc w:val="both"/>
        <w:rPr>
          <w:rFonts w:ascii="Verdana" w:hAnsi="Verdana" w:cs="Arial"/>
          <w:sz w:val="24"/>
          <w:szCs w:val="24"/>
          <w:lang w:eastAsia="en-GB"/>
        </w:rPr>
      </w:pPr>
      <w:r w:rsidRPr="00224519">
        <w:rPr>
          <w:rFonts w:ascii="Verdana" w:hAnsi="Verdana" w:cs="Arial"/>
          <w:sz w:val="24"/>
          <w:szCs w:val="24"/>
          <w:lang w:eastAsia="en-GB"/>
        </w:rPr>
        <w:t>EASC</w:t>
      </w:r>
      <w:r w:rsidR="007C5A56" w:rsidRPr="00224519">
        <w:rPr>
          <w:rFonts w:ascii="Verdana" w:hAnsi="Verdana" w:cs="Arial"/>
          <w:sz w:val="24"/>
          <w:szCs w:val="24"/>
          <w:lang w:eastAsia="en-GB"/>
        </w:rPr>
        <w:t xml:space="preserve"> received a report at its Nov-19 meeting from the NCCU which highlighted WAST’s progress on the commissioning intentions.</w:t>
      </w:r>
    </w:p>
    <w:p w:rsidR="00D92EE1" w:rsidRPr="00224519" w:rsidRDefault="00D92EE1" w:rsidP="00D92EE1">
      <w:pPr>
        <w:pStyle w:val="ListParagraph"/>
        <w:ind w:left="426"/>
        <w:jc w:val="both"/>
        <w:rPr>
          <w:rFonts w:ascii="Verdana" w:hAnsi="Verdana" w:cs="Arial"/>
          <w:sz w:val="24"/>
          <w:szCs w:val="24"/>
          <w:lang w:eastAsia="en-GB"/>
        </w:rPr>
      </w:pPr>
    </w:p>
    <w:p w:rsidR="00D92EE1" w:rsidRPr="00224519" w:rsidRDefault="007C5A56" w:rsidP="00156E65">
      <w:pPr>
        <w:pStyle w:val="ListParagraph"/>
        <w:numPr>
          <w:ilvl w:val="0"/>
          <w:numId w:val="1"/>
        </w:numPr>
        <w:ind w:left="426" w:hanging="426"/>
        <w:jc w:val="both"/>
        <w:rPr>
          <w:rFonts w:ascii="Verdana" w:hAnsi="Verdana" w:cs="Arial"/>
          <w:sz w:val="24"/>
          <w:szCs w:val="24"/>
          <w:lang w:eastAsia="en-GB"/>
        </w:rPr>
      </w:pPr>
      <w:r w:rsidRPr="00224519">
        <w:rPr>
          <w:rFonts w:ascii="Verdana" w:hAnsi="Verdana" w:cs="Arial"/>
          <w:sz w:val="24"/>
          <w:szCs w:val="24"/>
          <w:lang w:eastAsia="en-GB"/>
        </w:rPr>
        <w:t>The commissioning intentions are split between EMS, NEPTS and joint intentions (between WAST and health boards, for EMS and NEPTS). For EMS and NEPTS they are split into Framework Improvements and WAST Performance Improvements.</w:t>
      </w:r>
    </w:p>
    <w:p w:rsidR="00A9059F" w:rsidRPr="00224519" w:rsidRDefault="00A9059F" w:rsidP="00E449B1">
      <w:pPr>
        <w:jc w:val="both"/>
        <w:rPr>
          <w:rFonts w:ascii="Verdana" w:hAnsi="Verdana" w:cs="Arial"/>
          <w:b/>
          <w:sz w:val="24"/>
          <w:szCs w:val="24"/>
        </w:rPr>
      </w:pPr>
      <w:r w:rsidRPr="00224519">
        <w:rPr>
          <w:rFonts w:ascii="Verdana" w:hAnsi="Verdana" w:cs="Arial"/>
          <w:b/>
          <w:sz w:val="24"/>
          <w:szCs w:val="24"/>
        </w:rPr>
        <w:t>ASSESSMENT</w:t>
      </w:r>
    </w:p>
    <w:p w:rsidR="007820FF" w:rsidRPr="00224519" w:rsidRDefault="007820FF" w:rsidP="00E449B1">
      <w:pPr>
        <w:jc w:val="both"/>
        <w:rPr>
          <w:rFonts w:ascii="Verdana" w:hAnsi="Verdana" w:cs="Arial"/>
          <w:sz w:val="24"/>
          <w:szCs w:val="24"/>
          <w:u w:val="single"/>
        </w:rPr>
      </w:pPr>
    </w:p>
    <w:p w:rsidR="00C07380" w:rsidRPr="00224519" w:rsidRDefault="0038758B" w:rsidP="00C07380">
      <w:pPr>
        <w:pStyle w:val="ListParagraph"/>
        <w:numPr>
          <w:ilvl w:val="0"/>
          <w:numId w:val="1"/>
        </w:numPr>
        <w:ind w:left="426" w:hanging="426"/>
        <w:jc w:val="both"/>
        <w:rPr>
          <w:rFonts w:ascii="Verdana" w:hAnsi="Verdana" w:cs="Arial"/>
          <w:sz w:val="24"/>
          <w:szCs w:val="24"/>
        </w:rPr>
      </w:pPr>
      <w:r w:rsidRPr="00224519">
        <w:rPr>
          <w:rFonts w:ascii="Verdana" w:hAnsi="Verdana" w:cs="Arial"/>
          <w:sz w:val="24"/>
          <w:szCs w:val="24"/>
        </w:rPr>
        <w:t>The NCCU Nov-19 report included the following summary of WAST’s progress on the EMS commissioning intentions:-</w:t>
      </w:r>
    </w:p>
    <w:p w:rsidR="00E449B1" w:rsidRPr="00224519" w:rsidRDefault="00E449B1" w:rsidP="00780BB9">
      <w:pPr>
        <w:jc w:val="both"/>
        <w:rPr>
          <w:rFonts w:ascii="Verdana" w:hAnsi="Verdana" w:cs="Arial"/>
          <w:sz w:val="24"/>
          <w:szCs w:val="24"/>
          <w:lang w:eastAsia="en-GB"/>
        </w:rPr>
      </w:pPr>
    </w:p>
    <w:tbl>
      <w:tblPr>
        <w:tblW w:w="9724" w:type="dxa"/>
        <w:tblLook w:val="04A0" w:firstRow="1" w:lastRow="0" w:firstColumn="1" w:lastColumn="0" w:noHBand="0" w:noVBand="1"/>
      </w:tblPr>
      <w:tblGrid>
        <w:gridCol w:w="1540"/>
        <w:gridCol w:w="1796"/>
        <w:gridCol w:w="1567"/>
        <w:gridCol w:w="1206"/>
        <w:gridCol w:w="222"/>
        <w:gridCol w:w="1063"/>
        <w:gridCol w:w="1168"/>
        <w:gridCol w:w="1196"/>
      </w:tblGrid>
      <w:tr w:rsidR="0038758B" w:rsidRPr="00224519" w:rsidTr="009E2067">
        <w:trPr>
          <w:trHeight w:val="290"/>
        </w:trPr>
        <w:tc>
          <w:tcPr>
            <w:tcW w:w="1525" w:type="dxa"/>
            <w:tcBorders>
              <w:top w:val="nil"/>
              <w:left w:val="nil"/>
              <w:bottom w:val="nil"/>
              <w:right w:val="nil"/>
            </w:tcBorders>
            <w:shd w:val="clear" w:color="DDEBF7" w:fill="DDEBF7"/>
            <w:noWrap/>
            <w:vAlign w:val="bottom"/>
            <w:hideMark/>
          </w:tcPr>
          <w:p w:rsidR="0038758B" w:rsidRPr="00224519" w:rsidRDefault="0038758B" w:rsidP="0038758B">
            <w:pPr>
              <w:rPr>
                <w:rFonts w:ascii="Verdana" w:hAnsi="Verdana" w:cs="Calibri"/>
                <w:b/>
                <w:bCs/>
                <w:color w:val="000000"/>
                <w:sz w:val="18"/>
                <w:szCs w:val="24"/>
                <w:lang w:eastAsia="en-GB"/>
              </w:rPr>
            </w:pPr>
            <w:r w:rsidRPr="00224519">
              <w:rPr>
                <w:rFonts w:ascii="Verdana" w:hAnsi="Verdana" w:cs="Calibri"/>
                <w:b/>
                <w:bCs/>
                <w:color w:val="000000"/>
                <w:sz w:val="18"/>
                <w:szCs w:val="24"/>
                <w:lang w:eastAsia="en-GB"/>
              </w:rPr>
              <w:t>EMS</w:t>
            </w:r>
          </w:p>
        </w:tc>
        <w:tc>
          <w:tcPr>
            <w:tcW w:w="1796" w:type="dxa"/>
            <w:tcBorders>
              <w:top w:val="nil"/>
              <w:left w:val="nil"/>
              <w:bottom w:val="nil"/>
              <w:right w:val="nil"/>
            </w:tcBorders>
            <w:shd w:val="clear" w:color="DDEBF7" w:fill="DDEBF7"/>
            <w:noWrap/>
            <w:vAlign w:val="bottom"/>
            <w:hideMark/>
          </w:tcPr>
          <w:p w:rsidR="0038758B" w:rsidRPr="00224519" w:rsidRDefault="0038758B" w:rsidP="0038758B">
            <w:pPr>
              <w:rPr>
                <w:rFonts w:ascii="Verdana" w:hAnsi="Verdana" w:cs="Calibri"/>
                <w:b/>
                <w:bCs/>
                <w:color w:val="DDEBF7"/>
                <w:sz w:val="18"/>
                <w:szCs w:val="24"/>
                <w:lang w:eastAsia="en-GB"/>
              </w:rPr>
            </w:pPr>
            <w:r w:rsidRPr="00224519">
              <w:rPr>
                <w:rFonts w:ascii="Verdana" w:hAnsi="Verdana" w:cs="Calibri"/>
                <w:b/>
                <w:bCs/>
                <w:color w:val="DDEBF7"/>
                <w:sz w:val="18"/>
                <w:szCs w:val="24"/>
                <w:lang w:eastAsia="en-GB"/>
              </w:rPr>
              <w:t>Column Labels</w:t>
            </w:r>
          </w:p>
        </w:tc>
        <w:tc>
          <w:tcPr>
            <w:tcW w:w="1457" w:type="dxa"/>
            <w:tcBorders>
              <w:top w:val="nil"/>
              <w:left w:val="nil"/>
              <w:bottom w:val="nil"/>
              <w:right w:val="nil"/>
            </w:tcBorders>
            <w:shd w:val="clear" w:color="DDEBF7" w:fill="DDEBF7"/>
            <w:noWrap/>
            <w:vAlign w:val="bottom"/>
            <w:hideMark/>
          </w:tcPr>
          <w:p w:rsidR="0038758B" w:rsidRPr="00224519" w:rsidRDefault="0038758B" w:rsidP="0038758B">
            <w:pPr>
              <w:rPr>
                <w:rFonts w:ascii="Verdana" w:hAnsi="Verdana" w:cs="Calibri"/>
                <w:b/>
                <w:bCs/>
                <w:color w:val="DDEBF7"/>
                <w:sz w:val="18"/>
                <w:szCs w:val="24"/>
                <w:lang w:eastAsia="en-GB"/>
              </w:rPr>
            </w:pPr>
          </w:p>
        </w:tc>
        <w:tc>
          <w:tcPr>
            <w:tcW w:w="1102" w:type="dxa"/>
            <w:tcBorders>
              <w:top w:val="nil"/>
              <w:left w:val="nil"/>
              <w:bottom w:val="nil"/>
              <w:right w:val="nil"/>
            </w:tcBorders>
            <w:shd w:val="clear" w:color="DDEBF7" w:fill="DDEBF7"/>
            <w:noWrap/>
            <w:vAlign w:val="bottom"/>
            <w:hideMark/>
          </w:tcPr>
          <w:p w:rsidR="0038758B" w:rsidRPr="00224519" w:rsidRDefault="0038758B" w:rsidP="0038758B">
            <w:pPr>
              <w:rPr>
                <w:rFonts w:ascii="Verdana" w:hAnsi="Verdana"/>
                <w:sz w:val="18"/>
                <w:szCs w:val="24"/>
                <w:lang w:eastAsia="en-GB"/>
              </w:rPr>
            </w:pPr>
          </w:p>
        </w:tc>
        <w:tc>
          <w:tcPr>
            <w:tcW w:w="550" w:type="dxa"/>
            <w:tcBorders>
              <w:top w:val="nil"/>
              <w:left w:val="nil"/>
              <w:bottom w:val="nil"/>
              <w:right w:val="nil"/>
            </w:tcBorders>
            <w:shd w:val="clear" w:color="DDEBF7" w:fill="DDEBF7"/>
          </w:tcPr>
          <w:p w:rsidR="0038758B" w:rsidRPr="00224519" w:rsidRDefault="0038758B" w:rsidP="0038758B">
            <w:pPr>
              <w:rPr>
                <w:rFonts w:ascii="Verdana" w:hAnsi="Verdana"/>
                <w:sz w:val="18"/>
                <w:szCs w:val="24"/>
                <w:lang w:eastAsia="en-GB"/>
              </w:rPr>
            </w:pPr>
          </w:p>
        </w:tc>
        <w:tc>
          <w:tcPr>
            <w:tcW w:w="996" w:type="dxa"/>
            <w:tcBorders>
              <w:top w:val="nil"/>
              <w:left w:val="nil"/>
              <w:bottom w:val="nil"/>
              <w:right w:val="nil"/>
            </w:tcBorders>
            <w:shd w:val="clear" w:color="DDEBF7" w:fill="DDEBF7"/>
            <w:noWrap/>
            <w:vAlign w:val="bottom"/>
            <w:hideMark/>
          </w:tcPr>
          <w:p w:rsidR="0038758B" w:rsidRPr="00224519" w:rsidRDefault="0038758B" w:rsidP="0038758B">
            <w:pPr>
              <w:rPr>
                <w:rFonts w:ascii="Verdana" w:hAnsi="Verdana"/>
                <w:sz w:val="18"/>
                <w:szCs w:val="24"/>
                <w:lang w:eastAsia="en-GB"/>
              </w:rPr>
            </w:pPr>
          </w:p>
        </w:tc>
        <w:tc>
          <w:tcPr>
            <w:tcW w:w="1102" w:type="dxa"/>
            <w:tcBorders>
              <w:top w:val="nil"/>
              <w:left w:val="nil"/>
              <w:bottom w:val="nil"/>
              <w:right w:val="nil"/>
            </w:tcBorders>
            <w:shd w:val="clear" w:color="DDEBF7" w:fill="DDEBF7"/>
            <w:noWrap/>
            <w:vAlign w:val="bottom"/>
            <w:hideMark/>
          </w:tcPr>
          <w:p w:rsidR="0038758B" w:rsidRPr="00224519" w:rsidRDefault="0038758B" w:rsidP="0038758B">
            <w:pPr>
              <w:rPr>
                <w:rFonts w:ascii="Verdana" w:hAnsi="Verdana"/>
                <w:sz w:val="18"/>
                <w:szCs w:val="24"/>
                <w:lang w:eastAsia="en-GB"/>
              </w:rPr>
            </w:pPr>
          </w:p>
        </w:tc>
        <w:tc>
          <w:tcPr>
            <w:tcW w:w="1196" w:type="dxa"/>
            <w:tcBorders>
              <w:top w:val="nil"/>
              <w:left w:val="nil"/>
              <w:bottom w:val="nil"/>
              <w:right w:val="nil"/>
            </w:tcBorders>
            <w:shd w:val="clear" w:color="DDEBF7" w:fill="DDEBF7"/>
            <w:noWrap/>
            <w:vAlign w:val="bottom"/>
            <w:hideMark/>
          </w:tcPr>
          <w:p w:rsidR="0038758B" w:rsidRPr="00224519" w:rsidRDefault="0038758B" w:rsidP="0038758B">
            <w:pPr>
              <w:rPr>
                <w:rFonts w:ascii="Verdana" w:hAnsi="Verdana"/>
                <w:sz w:val="18"/>
                <w:szCs w:val="24"/>
                <w:lang w:eastAsia="en-GB"/>
              </w:rPr>
            </w:pPr>
          </w:p>
        </w:tc>
      </w:tr>
      <w:tr w:rsidR="0038758B" w:rsidRPr="00224519" w:rsidTr="009E2067">
        <w:trPr>
          <w:trHeight w:val="290"/>
        </w:trPr>
        <w:tc>
          <w:tcPr>
            <w:tcW w:w="1525" w:type="dxa"/>
            <w:tcBorders>
              <w:top w:val="nil"/>
              <w:left w:val="nil"/>
              <w:bottom w:val="single" w:sz="4" w:space="0" w:color="9BC2E6"/>
              <w:right w:val="nil"/>
            </w:tcBorders>
            <w:shd w:val="clear" w:color="DDEBF7" w:fill="DDEBF7"/>
            <w:noWrap/>
            <w:vAlign w:val="bottom"/>
            <w:hideMark/>
          </w:tcPr>
          <w:p w:rsidR="0038758B" w:rsidRPr="00224519" w:rsidRDefault="0038758B" w:rsidP="0038758B">
            <w:pPr>
              <w:rPr>
                <w:rFonts w:ascii="Verdana" w:hAnsi="Verdana" w:cs="Calibri"/>
                <w:b/>
                <w:bCs/>
                <w:color w:val="DDEBF7"/>
                <w:sz w:val="18"/>
                <w:szCs w:val="24"/>
                <w:lang w:eastAsia="en-GB"/>
              </w:rPr>
            </w:pPr>
            <w:r w:rsidRPr="00224519">
              <w:rPr>
                <w:rFonts w:ascii="Verdana" w:hAnsi="Verdana" w:cs="Calibri"/>
                <w:b/>
                <w:bCs/>
                <w:color w:val="DDEBF7"/>
                <w:sz w:val="18"/>
                <w:szCs w:val="24"/>
                <w:lang w:eastAsia="en-GB"/>
              </w:rPr>
              <w:t>Row Labels</w:t>
            </w:r>
          </w:p>
        </w:tc>
        <w:tc>
          <w:tcPr>
            <w:tcW w:w="1796" w:type="dxa"/>
            <w:tcBorders>
              <w:top w:val="nil"/>
              <w:left w:val="nil"/>
              <w:bottom w:val="single" w:sz="4" w:space="0" w:color="9BC2E6"/>
              <w:right w:val="nil"/>
            </w:tcBorders>
            <w:shd w:val="clear" w:color="DDEBF7" w:fill="DDEBF7"/>
            <w:noWrap/>
            <w:vAlign w:val="bottom"/>
            <w:hideMark/>
          </w:tcPr>
          <w:p w:rsidR="0038758B" w:rsidRPr="00224519" w:rsidRDefault="0038758B" w:rsidP="0038758B">
            <w:pPr>
              <w:rPr>
                <w:rFonts w:ascii="Verdana" w:hAnsi="Verdana" w:cs="Calibri"/>
                <w:b/>
                <w:bCs/>
                <w:color w:val="000000"/>
                <w:sz w:val="18"/>
                <w:szCs w:val="24"/>
                <w:lang w:eastAsia="en-GB"/>
              </w:rPr>
            </w:pPr>
            <w:r w:rsidRPr="00224519">
              <w:rPr>
                <w:rFonts w:ascii="Verdana" w:hAnsi="Verdana" w:cs="Calibri"/>
                <w:b/>
                <w:bCs/>
                <w:color w:val="000000"/>
                <w:sz w:val="18"/>
                <w:szCs w:val="24"/>
                <w:lang w:eastAsia="en-GB"/>
              </w:rPr>
              <w:t>Completed</w:t>
            </w:r>
          </w:p>
        </w:tc>
        <w:tc>
          <w:tcPr>
            <w:tcW w:w="1457" w:type="dxa"/>
            <w:tcBorders>
              <w:top w:val="nil"/>
              <w:left w:val="nil"/>
              <w:bottom w:val="single" w:sz="4" w:space="0" w:color="9BC2E6"/>
              <w:right w:val="nil"/>
            </w:tcBorders>
            <w:shd w:val="clear" w:color="DDEBF7" w:fill="DDEBF7"/>
            <w:noWrap/>
            <w:vAlign w:val="bottom"/>
            <w:hideMark/>
          </w:tcPr>
          <w:p w:rsidR="0038758B" w:rsidRPr="00224519" w:rsidRDefault="0038758B" w:rsidP="0038758B">
            <w:pPr>
              <w:rPr>
                <w:rFonts w:ascii="Verdana" w:hAnsi="Verdana" w:cs="Calibri"/>
                <w:b/>
                <w:bCs/>
                <w:color w:val="000000"/>
                <w:sz w:val="18"/>
                <w:szCs w:val="24"/>
                <w:lang w:eastAsia="en-GB"/>
              </w:rPr>
            </w:pPr>
            <w:r w:rsidRPr="00224519">
              <w:rPr>
                <w:rFonts w:ascii="Verdana" w:hAnsi="Verdana" w:cs="Calibri"/>
                <w:b/>
                <w:bCs/>
                <w:color w:val="000000"/>
                <w:sz w:val="18"/>
                <w:szCs w:val="24"/>
                <w:lang w:eastAsia="en-GB"/>
              </w:rPr>
              <w:t>Deterioration</w:t>
            </w:r>
          </w:p>
        </w:tc>
        <w:tc>
          <w:tcPr>
            <w:tcW w:w="1102" w:type="dxa"/>
            <w:tcBorders>
              <w:top w:val="nil"/>
              <w:left w:val="nil"/>
              <w:bottom w:val="single" w:sz="4" w:space="0" w:color="9BC2E6"/>
              <w:right w:val="nil"/>
            </w:tcBorders>
            <w:shd w:val="clear" w:color="DDEBF7" w:fill="DDEBF7"/>
            <w:noWrap/>
            <w:vAlign w:val="bottom"/>
            <w:hideMark/>
          </w:tcPr>
          <w:p w:rsidR="0038758B" w:rsidRPr="00224519" w:rsidRDefault="0038758B" w:rsidP="0038758B">
            <w:pPr>
              <w:rPr>
                <w:rFonts w:ascii="Verdana" w:hAnsi="Verdana" w:cs="Calibri"/>
                <w:b/>
                <w:bCs/>
                <w:color w:val="000000"/>
                <w:sz w:val="18"/>
                <w:szCs w:val="24"/>
                <w:lang w:eastAsia="en-GB"/>
              </w:rPr>
            </w:pPr>
            <w:r w:rsidRPr="00224519">
              <w:rPr>
                <w:rFonts w:ascii="Verdana" w:hAnsi="Verdana" w:cs="Calibri"/>
                <w:b/>
                <w:bCs/>
                <w:color w:val="000000"/>
                <w:sz w:val="18"/>
                <w:szCs w:val="24"/>
                <w:lang w:eastAsia="en-GB"/>
              </w:rPr>
              <w:t>Improved</w:t>
            </w:r>
          </w:p>
        </w:tc>
        <w:tc>
          <w:tcPr>
            <w:tcW w:w="550" w:type="dxa"/>
            <w:tcBorders>
              <w:top w:val="nil"/>
              <w:left w:val="nil"/>
              <w:bottom w:val="single" w:sz="4" w:space="0" w:color="9BC2E6"/>
              <w:right w:val="nil"/>
            </w:tcBorders>
            <w:shd w:val="clear" w:color="DDEBF7" w:fill="DDEBF7"/>
          </w:tcPr>
          <w:p w:rsidR="0038758B" w:rsidRPr="00224519" w:rsidRDefault="0038758B" w:rsidP="0038758B">
            <w:pPr>
              <w:rPr>
                <w:rFonts w:ascii="Verdana" w:hAnsi="Verdana" w:cs="Calibri"/>
                <w:b/>
                <w:bCs/>
                <w:color w:val="000000"/>
                <w:sz w:val="18"/>
                <w:szCs w:val="24"/>
                <w:lang w:eastAsia="en-GB"/>
              </w:rPr>
            </w:pPr>
          </w:p>
        </w:tc>
        <w:tc>
          <w:tcPr>
            <w:tcW w:w="996" w:type="dxa"/>
            <w:tcBorders>
              <w:top w:val="nil"/>
              <w:left w:val="nil"/>
              <w:bottom w:val="single" w:sz="4" w:space="0" w:color="9BC2E6"/>
              <w:right w:val="nil"/>
            </w:tcBorders>
            <w:shd w:val="clear" w:color="DDEBF7" w:fill="DDEBF7"/>
            <w:noWrap/>
            <w:vAlign w:val="bottom"/>
            <w:hideMark/>
          </w:tcPr>
          <w:p w:rsidR="0038758B" w:rsidRPr="00224519" w:rsidRDefault="0038758B" w:rsidP="0038758B">
            <w:pPr>
              <w:rPr>
                <w:rFonts w:ascii="Verdana" w:hAnsi="Verdana" w:cs="Calibri"/>
                <w:b/>
                <w:bCs/>
                <w:color w:val="000000"/>
                <w:sz w:val="18"/>
                <w:szCs w:val="24"/>
                <w:lang w:eastAsia="en-GB"/>
              </w:rPr>
            </w:pPr>
            <w:r w:rsidRPr="00224519">
              <w:rPr>
                <w:rFonts w:ascii="Verdana" w:hAnsi="Verdana" w:cs="Calibri"/>
                <w:b/>
                <w:bCs/>
                <w:color w:val="000000"/>
                <w:sz w:val="18"/>
                <w:szCs w:val="24"/>
                <w:lang w:eastAsia="en-GB"/>
              </w:rPr>
              <w:t>Ongoing</w:t>
            </w:r>
          </w:p>
        </w:tc>
        <w:tc>
          <w:tcPr>
            <w:tcW w:w="1102" w:type="dxa"/>
            <w:tcBorders>
              <w:top w:val="nil"/>
              <w:left w:val="nil"/>
              <w:bottom w:val="single" w:sz="4" w:space="0" w:color="9BC2E6"/>
              <w:right w:val="nil"/>
            </w:tcBorders>
            <w:shd w:val="clear" w:color="DDEBF7" w:fill="DDEBF7"/>
            <w:noWrap/>
            <w:vAlign w:val="bottom"/>
            <w:hideMark/>
          </w:tcPr>
          <w:p w:rsidR="0038758B" w:rsidRPr="00224519" w:rsidRDefault="0038758B" w:rsidP="0038758B">
            <w:pPr>
              <w:rPr>
                <w:rFonts w:ascii="Verdana" w:hAnsi="Verdana" w:cs="Calibri"/>
                <w:b/>
                <w:bCs/>
                <w:color w:val="000000"/>
                <w:sz w:val="18"/>
                <w:szCs w:val="24"/>
                <w:lang w:eastAsia="en-GB"/>
              </w:rPr>
            </w:pPr>
            <w:r w:rsidRPr="00224519">
              <w:rPr>
                <w:rFonts w:ascii="Verdana" w:hAnsi="Verdana" w:cs="Calibri"/>
                <w:b/>
                <w:bCs/>
                <w:color w:val="000000"/>
                <w:sz w:val="18"/>
                <w:szCs w:val="24"/>
                <w:lang w:eastAsia="en-GB"/>
              </w:rPr>
              <w:t>Unknown</w:t>
            </w:r>
          </w:p>
        </w:tc>
        <w:tc>
          <w:tcPr>
            <w:tcW w:w="1196" w:type="dxa"/>
            <w:tcBorders>
              <w:top w:val="nil"/>
              <w:left w:val="nil"/>
              <w:bottom w:val="single" w:sz="4" w:space="0" w:color="9BC2E6"/>
              <w:right w:val="nil"/>
            </w:tcBorders>
            <w:shd w:val="clear" w:color="DDEBF7" w:fill="DDEBF7"/>
            <w:noWrap/>
            <w:vAlign w:val="bottom"/>
            <w:hideMark/>
          </w:tcPr>
          <w:p w:rsidR="0038758B" w:rsidRPr="00224519" w:rsidRDefault="0038758B" w:rsidP="0038758B">
            <w:pPr>
              <w:rPr>
                <w:rFonts w:ascii="Verdana" w:hAnsi="Verdana" w:cs="Calibri"/>
                <w:b/>
                <w:bCs/>
                <w:color w:val="000000"/>
                <w:sz w:val="18"/>
                <w:szCs w:val="24"/>
                <w:lang w:eastAsia="en-GB"/>
              </w:rPr>
            </w:pPr>
            <w:r w:rsidRPr="00224519">
              <w:rPr>
                <w:rFonts w:ascii="Verdana" w:hAnsi="Verdana" w:cs="Calibri"/>
                <w:b/>
                <w:bCs/>
                <w:color w:val="000000"/>
                <w:sz w:val="18"/>
                <w:szCs w:val="24"/>
                <w:lang w:eastAsia="en-GB"/>
              </w:rPr>
              <w:t>Grand Total</w:t>
            </w:r>
          </w:p>
        </w:tc>
      </w:tr>
      <w:tr w:rsidR="0038758B" w:rsidRPr="00224519" w:rsidTr="009E2067">
        <w:trPr>
          <w:trHeight w:val="290"/>
        </w:trPr>
        <w:tc>
          <w:tcPr>
            <w:tcW w:w="1525" w:type="dxa"/>
            <w:tcBorders>
              <w:top w:val="nil"/>
              <w:left w:val="nil"/>
              <w:bottom w:val="nil"/>
              <w:right w:val="nil"/>
            </w:tcBorders>
            <w:shd w:val="clear" w:color="auto" w:fill="auto"/>
            <w:noWrap/>
            <w:vAlign w:val="bottom"/>
            <w:hideMark/>
          </w:tcPr>
          <w:p w:rsidR="0038758B" w:rsidRPr="00224519" w:rsidRDefault="0038758B" w:rsidP="0038758B">
            <w:pPr>
              <w:rPr>
                <w:rFonts w:ascii="Verdana" w:hAnsi="Verdana" w:cs="Calibri"/>
                <w:color w:val="000000"/>
                <w:sz w:val="18"/>
                <w:szCs w:val="24"/>
                <w:lang w:eastAsia="en-GB"/>
              </w:rPr>
            </w:pPr>
            <w:r w:rsidRPr="00224519">
              <w:rPr>
                <w:rFonts w:ascii="Verdana" w:hAnsi="Verdana" w:cs="Calibri"/>
                <w:color w:val="000000"/>
                <w:sz w:val="18"/>
                <w:szCs w:val="24"/>
                <w:lang w:eastAsia="en-GB"/>
              </w:rPr>
              <w:t>Framework Improvements</w:t>
            </w:r>
          </w:p>
        </w:tc>
        <w:tc>
          <w:tcPr>
            <w:tcW w:w="1796" w:type="dxa"/>
            <w:tcBorders>
              <w:top w:val="nil"/>
              <w:left w:val="nil"/>
              <w:bottom w:val="nil"/>
              <w:right w:val="nil"/>
            </w:tcBorders>
            <w:shd w:val="clear" w:color="auto" w:fill="auto"/>
            <w:noWrap/>
            <w:vAlign w:val="bottom"/>
            <w:hideMark/>
          </w:tcPr>
          <w:p w:rsidR="0038758B" w:rsidRPr="00224519" w:rsidRDefault="0038758B" w:rsidP="0038758B">
            <w:pPr>
              <w:jc w:val="right"/>
              <w:rPr>
                <w:rFonts w:ascii="Verdana" w:hAnsi="Verdana" w:cs="Calibri"/>
                <w:color w:val="000000"/>
                <w:sz w:val="18"/>
                <w:szCs w:val="24"/>
                <w:lang w:eastAsia="en-GB"/>
              </w:rPr>
            </w:pPr>
            <w:r w:rsidRPr="00224519">
              <w:rPr>
                <w:rFonts w:ascii="Verdana" w:hAnsi="Verdana" w:cs="Calibri"/>
                <w:color w:val="000000"/>
                <w:sz w:val="18"/>
                <w:szCs w:val="24"/>
                <w:lang w:eastAsia="en-GB"/>
              </w:rPr>
              <w:t>5</w:t>
            </w:r>
          </w:p>
        </w:tc>
        <w:tc>
          <w:tcPr>
            <w:tcW w:w="1457" w:type="dxa"/>
            <w:tcBorders>
              <w:top w:val="nil"/>
              <w:left w:val="nil"/>
              <w:bottom w:val="nil"/>
              <w:right w:val="nil"/>
            </w:tcBorders>
            <w:shd w:val="clear" w:color="auto" w:fill="auto"/>
            <w:noWrap/>
            <w:vAlign w:val="bottom"/>
            <w:hideMark/>
          </w:tcPr>
          <w:p w:rsidR="0038758B" w:rsidRPr="00224519" w:rsidRDefault="0038758B" w:rsidP="0038758B">
            <w:pPr>
              <w:jc w:val="right"/>
              <w:rPr>
                <w:rFonts w:ascii="Verdana" w:hAnsi="Verdana" w:cs="Calibri"/>
                <w:color w:val="000000"/>
                <w:sz w:val="18"/>
                <w:szCs w:val="24"/>
                <w:lang w:eastAsia="en-GB"/>
              </w:rPr>
            </w:pPr>
          </w:p>
        </w:tc>
        <w:tc>
          <w:tcPr>
            <w:tcW w:w="1102" w:type="dxa"/>
            <w:tcBorders>
              <w:top w:val="nil"/>
              <w:left w:val="nil"/>
              <w:bottom w:val="nil"/>
              <w:right w:val="nil"/>
            </w:tcBorders>
            <w:shd w:val="clear" w:color="auto" w:fill="auto"/>
            <w:noWrap/>
            <w:vAlign w:val="bottom"/>
            <w:hideMark/>
          </w:tcPr>
          <w:p w:rsidR="0038758B" w:rsidRPr="00224519" w:rsidRDefault="0038758B" w:rsidP="0038758B">
            <w:pPr>
              <w:jc w:val="right"/>
              <w:rPr>
                <w:rFonts w:ascii="Verdana" w:hAnsi="Verdana" w:cs="Calibri"/>
                <w:color w:val="000000"/>
                <w:sz w:val="18"/>
                <w:szCs w:val="24"/>
                <w:lang w:eastAsia="en-GB"/>
              </w:rPr>
            </w:pPr>
            <w:r w:rsidRPr="00224519">
              <w:rPr>
                <w:rFonts w:ascii="Verdana" w:hAnsi="Verdana" w:cs="Calibri"/>
                <w:color w:val="000000"/>
                <w:sz w:val="18"/>
                <w:szCs w:val="24"/>
                <w:lang w:eastAsia="en-GB"/>
              </w:rPr>
              <w:t>1</w:t>
            </w:r>
          </w:p>
        </w:tc>
        <w:tc>
          <w:tcPr>
            <w:tcW w:w="550" w:type="dxa"/>
            <w:tcBorders>
              <w:top w:val="nil"/>
              <w:left w:val="nil"/>
              <w:bottom w:val="nil"/>
              <w:right w:val="nil"/>
            </w:tcBorders>
          </w:tcPr>
          <w:p w:rsidR="0038758B" w:rsidRPr="00224519" w:rsidRDefault="0038758B" w:rsidP="0038758B">
            <w:pPr>
              <w:jc w:val="right"/>
              <w:rPr>
                <w:rFonts w:ascii="Verdana" w:hAnsi="Verdana" w:cs="Calibri"/>
                <w:color w:val="000000"/>
                <w:sz w:val="18"/>
                <w:szCs w:val="24"/>
                <w:lang w:eastAsia="en-GB"/>
              </w:rPr>
            </w:pPr>
          </w:p>
        </w:tc>
        <w:tc>
          <w:tcPr>
            <w:tcW w:w="996" w:type="dxa"/>
            <w:tcBorders>
              <w:top w:val="nil"/>
              <w:left w:val="nil"/>
              <w:bottom w:val="nil"/>
              <w:right w:val="nil"/>
            </w:tcBorders>
            <w:shd w:val="clear" w:color="auto" w:fill="auto"/>
            <w:noWrap/>
            <w:vAlign w:val="bottom"/>
            <w:hideMark/>
          </w:tcPr>
          <w:p w:rsidR="0038758B" w:rsidRPr="00224519" w:rsidRDefault="0038758B" w:rsidP="0038758B">
            <w:pPr>
              <w:jc w:val="right"/>
              <w:rPr>
                <w:rFonts w:ascii="Verdana" w:hAnsi="Verdana" w:cs="Calibri"/>
                <w:color w:val="000000"/>
                <w:sz w:val="18"/>
                <w:szCs w:val="24"/>
                <w:lang w:eastAsia="en-GB"/>
              </w:rPr>
            </w:pPr>
            <w:r w:rsidRPr="00224519">
              <w:rPr>
                <w:rFonts w:ascii="Verdana" w:hAnsi="Verdana" w:cs="Calibri"/>
                <w:color w:val="000000"/>
                <w:sz w:val="18"/>
                <w:szCs w:val="24"/>
                <w:lang w:eastAsia="en-GB"/>
              </w:rPr>
              <w:t>4</w:t>
            </w:r>
          </w:p>
        </w:tc>
        <w:tc>
          <w:tcPr>
            <w:tcW w:w="1102" w:type="dxa"/>
            <w:tcBorders>
              <w:top w:val="nil"/>
              <w:left w:val="nil"/>
              <w:bottom w:val="nil"/>
              <w:right w:val="nil"/>
            </w:tcBorders>
            <w:shd w:val="clear" w:color="auto" w:fill="auto"/>
            <w:noWrap/>
            <w:vAlign w:val="bottom"/>
            <w:hideMark/>
          </w:tcPr>
          <w:p w:rsidR="0038758B" w:rsidRPr="00224519" w:rsidRDefault="0038758B" w:rsidP="0038758B">
            <w:pPr>
              <w:jc w:val="right"/>
              <w:rPr>
                <w:rFonts w:ascii="Verdana" w:hAnsi="Verdana" w:cs="Calibri"/>
                <w:color w:val="000000"/>
                <w:sz w:val="18"/>
                <w:szCs w:val="24"/>
                <w:lang w:eastAsia="en-GB"/>
              </w:rPr>
            </w:pPr>
            <w:r w:rsidRPr="00224519">
              <w:rPr>
                <w:rFonts w:ascii="Verdana" w:hAnsi="Verdana" w:cs="Calibri"/>
                <w:color w:val="000000"/>
                <w:sz w:val="18"/>
                <w:szCs w:val="24"/>
                <w:lang w:eastAsia="en-GB"/>
              </w:rPr>
              <w:t>4</w:t>
            </w:r>
          </w:p>
        </w:tc>
        <w:tc>
          <w:tcPr>
            <w:tcW w:w="1196" w:type="dxa"/>
            <w:tcBorders>
              <w:top w:val="nil"/>
              <w:left w:val="nil"/>
              <w:bottom w:val="nil"/>
              <w:right w:val="nil"/>
            </w:tcBorders>
            <w:shd w:val="clear" w:color="auto" w:fill="auto"/>
            <w:noWrap/>
            <w:vAlign w:val="bottom"/>
            <w:hideMark/>
          </w:tcPr>
          <w:p w:rsidR="0038758B" w:rsidRPr="00224519" w:rsidRDefault="0038758B" w:rsidP="0038758B">
            <w:pPr>
              <w:jc w:val="right"/>
              <w:rPr>
                <w:rFonts w:ascii="Verdana" w:hAnsi="Verdana" w:cs="Calibri"/>
                <w:color w:val="000000"/>
                <w:sz w:val="18"/>
                <w:szCs w:val="24"/>
                <w:lang w:eastAsia="en-GB"/>
              </w:rPr>
            </w:pPr>
            <w:r w:rsidRPr="00224519">
              <w:rPr>
                <w:rFonts w:ascii="Verdana" w:hAnsi="Verdana" w:cs="Calibri"/>
                <w:color w:val="000000"/>
                <w:sz w:val="18"/>
                <w:szCs w:val="24"/>
                <w:lang w:eastAsia="en-GB"/>
              </w:rPr>
              <w:t>14</w:t>
            </w:r>
          </w:p>
        </w:tc>
      </w:tr>
      <w:tr w:rsidR="0038758B" w:rsidRPr="00224519" w:rsidTr="009E2067">
        <w:trPr>
          <w:trHeight w:val="290"/>
        </w:trPr>
        <w:tc>
          <w:tcPr>
            <w:tcW w:w="1525" w:type="dxa"/>
            <w:tcBorders>
              <w:top w:val="nil"/>
              <w:left w:val="nil"/>
              <w:bottom w:val="nil"/>
              <w:right w:val="nil"/>
            </w:tcBorders>
            <w:shd w:val="clear" w:color="auto" w:fill="auto"/>
            <w:noWrap/>
            <w:vAlign w:val="bottom"/>
            <w:hideMark/>
          </w:tcPr>
          <w:p w:rsidR="0038758B" w:rsidRPr="00224519" w:rsidRDefault="0038758B" w:rsidP="0038758B">
            <w:pPr>
              <w:rPr>
                <w:rFonts w:ascii="Verdana" w:hAnsi="Verdana" w:cs="Calibri"/>
                <w:color w:val="000000"/>
                <w:sz w:val="18"/>
                <w:szCs w:val="24"/>
                <w:lang w:eastAsia="en-GB"/>
              </w:rPr>
            </w:pPr>
            <w:r w:rsidRPr="00224519">
              <w:rPr>
                <w:rFonts w:ascii="Verdana" w:hAnsi="Verdana" w:cs="Calibri"/>
                <w:color w:val="000000"/>
                <w:sz w:val="18"/>
                <w:szCs w:val="24"/>
                <w:lang w:eastAsia="en-GB"/>
              </w:rPr>
              <w:t>WAST Performance Improvements</w:t>
            </w:r>
          </w:p>
        </w:tc>
        <w:tc>
          <w:tcPr>
            <w:tcW w:w="1796" w:type="dxa"/>
            <w:tcBorders>
              <w:top w:val="nil"/>
              <w:left w:val="nil"/>
              <w:bottom w:val="nil"/>
              <w:right w:val="nil"/>
            </w:tcBorders>
            <w:shd w:val="clear" w:color="auto" w:fill="auto"/>
            <w:noWrap/>
            <w:vAlign w:val="bottom"/>
            <w:hideMark/>
          </w:tcPr>
          <w:p w:rsidR="0038758B" w:rsidRPr="00224519" w:rsidRDefault="0038758B" w:rsidP="0038758B">
            <w:pPr>
              <w:rPr>
                <w:rFonts w:ascii="Verdana" w:hAnsi="Verdana" w:cs="Calibri"/>
                <w:color w:val="000000"/>
                <w:sz w:val="18"/>
                <w:szCs w:val="24"/>
                <w:lang w:eastAsia="en-GB"/>
              </w:rPr>
            </w:pPr>
          </w:p>
        </w:tc>
        <w:tc>
          <w:tcPr>
            <w:tcW w:w="1457" w:type="dxa"/>
            <w:tcBorders>
              <w:top w:val="nil"/>
              <w:left w:val="nil"/>
              <w:bottom w:val="nil"/>
              <w:right w:val="nil"/>
            </w:tcBorders>
            <w:shd w:val="clear" w:color="auto" w:fill="auto"/>
            <w:noWrap/>
            <w:vAlign w:val="bottom"/>
            <w:hideMark/>
          </w:tcPr>
          <w:p w:rsidR="0038758B" w:rsidRPr="00224519" w:rsidRDefault="0038758B" w:rsidP="0038758B">
            <w:pPr>
              <w:jc w:val="right"/>
              <w:rPr>
                <w:rFonts w:ascii="Verdana" w:hAnsi="Verdana" w:cs="Calibri"/>
                <w:color w:val="000000"/>
                <w:sz w:val="18"/>
                <w:szCs w:val="24"/>
                <w:lang w:eastAsia="en-GB"/>
              </w:rPr>
            </w:pPr>
            <w:r w:rsidRPr="00224519">
              <w:rPr>
                <w:rFonts w:ascii="Verdana" w:hAnsi="Verdana" w:cs="Calibri"/>
                <w:color w:val="000000"/>
                <w:sz w:val="18"/>
                <w:szCs w:val="24"/>
                <w:lang w:eastAsia="en-GB"/>
              </w:rPr>
              <w:t>4</w:t>
            </w:r>
          </w:p>
        </w:tc>
        <w:tc>
          <w:tcPr>
            <w:tcW w:w="1102" w:type="dxa"/>
            <w:tcBorders>
              <w:top w:val="nil"/>
              <w:left w:val="nil"/>
              <w:bottom w:val="nil"/>
              <w:right w:val="nil"/>
            </w:tcBorders>
            <w:shd w:val="clear" w:color="auto" w:fill="auto"/>
            <w:noWrap/>
            <w:vAlign w:val="bottom"/>
            <w:hideMark/>
          </w:tcPr>
          <w:p w:rsidR="0038758B" w:rsidRPr="00224519" w:rsidRDefault="0038758B" w:rsidP="0038758B">
            <w:pPr>
              <w:jc w:val="right"/>
              <w:rPr>
                <w:rFonts w:ascii="Verdana" w:hAnsi="Verdana" w:cs="Calibri"/>
                <w:color w:val="000000"/>
                <w:sz w:val="18"/>
                <w:szCs w:val="24"/>
                <w:lang w:eastAsia="en-GB"/>
              </w:rPr>
            </w:pPr>
            <w:r w:rsidRPr="00224519">
              <w:rPr>
                <w:rFonts w:ascii="Verdana" w:hAnsi="Verdana" w:cs="Calibri"/>
                <w:color w:val="000000"/>
                <w:sz w:val="18"/>
                <w:szCs w:val="24"/>
                <w:lang w:eastAsia="en-GB"/>
              </w:rPr>
              <w:t>2</w:t>
            </w:r>
          </w:p>
        </w:tc>
        <w:tc>
          <w:tcPr>
            <w:tcW w:w="550" w:type="dxa"/>
            <w:tcBorders>
              <w:top w:val="nil"/>
              <w:left w:val="nil"/>
              <w:bottom w:val="nil"/>
              <w:right w:val="nil"/>
            </w:tcBorders>
          </w:tcPr>
          <w:p w:rsidR="0038758B" w:rsidRPr="00224519" w:rsidRDefault="0038758B" w:rsidP="0038758B">
            <w:pPr>
              <w:jc w:val="right"/>
              <w:rPr>
                <w:rFonts w:ascii="Verdana" w:hAnsi="Verdana" w:cs="Calibri"/>
                <w:color w:val="000000"/>
                <w:sz w:val="18"/>
                <w:szCs w:val="24"/>
                <w:lang w:eastAsia="en-GB"/>
              </w:rPr>
            </w:pPr>
          </w:p>
        </w:tc>
        <w:tc>
          <w:tcPr>
            <w:tcW w:w="996" w:type="dxa"/>
            <w:tcBorders>
              <w:top w:val="nil"/>
              <w:left w:val="nil"/>
              <w:bottom w:val="nil"/>
              <w:right w:val="nil"/>
            </w:tcBorders>
            <w:shd w:val="clear" w:color="auto" w:fill="auto"/>
            <w:noWrap/>
            <w:vAlign w:val="bottom"/>
            <w:hideMark/>
          </w:tcPr>
          <w:p w:rsidR="0038758B" w:rsidRPr="00224519" w:rsidRDefault="0038758B" w:rsidP="0038758B">
            <w:pPr>
              <w:jc w:val="right"/>
              <w:rPr>
                <w:rFonts w:ascii="Verdana" w:hAnsi="Verdana" w:cs="Calibri"/>
                <w:color w:val="000000"/>
                <w:sz w:val="18"/>
                <w:szCs w:val="24"/>
                <w:lang w:eastAsia="en-GB"/>
              </w:rPr>
            </w:pPr>
            <w:r w:rsidRPr="00224519">
              <w:rPr>
                <w:rFonts w:ascii="Verdana" w:hAnsi="Verdana" w:cs="Calibri"/>
                <w:color w:val="000000"/>
                <w:sz w:val="18"/>
                <w:szCs w:val="24"/>
                <w:lang w:eastAsia="en-GB"/>
              </w:rPr>
              <w:t>6</w:t>
            </w:r>
          </w:p>
        </w:tc>
        <w:tc>
          <w:tcPr>
            <w:tcW w:w="1102" w:type="dxa"/>
            <w:tcBorders>
              <w:top w:val="nil"/>
              <w:left w:val="nil"/>
              <w:bottom w:val="nil"/>
              <w:right w:val="nil"/>
            </w:tcBorders>
            <w:shd w:val="clear" w:color="auto" w:fill="auto"/>
            <w:noWrap/>
            <w:vAlign w:val="bottom"/>
            <w:hideMark/>
          </w:tcPr>
          <w:p w:rsidR="0038758B" w:rsidRPr="00224519" w:rsidRDefault="0038758B" w:rsidP="0038758B">
            <w:pPr>
              <w:jc w:val="right"/>
              <w:rPr>
                <w:rFonts w:ascii="Verdana" w:hAnsi="Verdana" w:cs="Calibri"/>
                <w:color w:val="000000"/>
                <w:sz w:val="18"/>
                <w:szCs w:val="24"/>
                <w:lang w:eastAsia="en-GB"/>
              </w:rPr>
            </w:pPr>
            <w:r w:rsidRPr="00224519">
              <w:rPr>
                <w:rFonts w:ascii="Verdana" w:hAnsi="Verdana" w:cs="Calibri"/>
                <w:color w:val="000000"/>
                <w:sz w:val="18"/>
                <w:szCs w:val="24"/>
                <w:lang w:eastAsia="en-GB"/>
              </w:rPr>
              <w:t>1</w:t>
            </w:r>
          </w:p>
        </w:tc>
        <w:tc>
          <w:tcPr>
            <w:tcW w:w="1196" w:type="dxa"/>
            <w:tcBorders>
              <w:top w:val="nil"/>
              <w:left w:val="nil"/>
              <w:bottom w:val="nil"/>
              <w:right w:val="nil"/>
            </w:tcBorders>
            <w:shd w:val="clear" w:color="auto" w:fill="auto"/>
            <w:noWrap/>
            <w:vAlign w:val="bottom"/>
            <w:hideMark/>
          </w:tcPr>
          <w:p w:rsidR="0038758B" w:rsidRPr="00224519" w:rsidRDefault="0038758B" w:rsidP="0038758B">
            <w:pPr>
              <w:jc w:val="right"/>
              <w:rPr>
                <w:rFonts w:ascii="Verdana" w:hAnsi="Verdana" w:cs="Calibri"/>
                <w:color w:val="000000"/>
                <w:sz w:val="18"/>
                <w:szCs w:val="24"/>
                <w:lang w:eastAsia="en-GB"/>
              </w:rPr>
            </w:pPr>
            <w:r w:rsidRPr="00224519">
              <w:rPr>
                <w:rFonts w:ascii="Verdana" w:hAnsi="Verdana" w:cs="Calibri"/>
                <w:color w:val="000000"/>
                <w:sz w:val="18"/>
                <w:szCs w:val="24"/>
                <w:lang w:eastAsia="en-GB"/>
              </w:rPr>
              <w:t>13</w:t>
            </w:r>
          </w:p>
        </w:tc>
      </w:tr>
      <w:tr w:rsidR="0038758B" w:rsidRPr="00224519" w:rsidTr="009E2067">
        <w:trPr>
          <w:trHeight w:val="290"/>
        </w:trPr>
        <w:tc>
          <w:tcPr>
            <w:tcW w:w="1525" w:type="dxa"/>
            <w:tcBorders>
              <w:top w:val="single" w:sz="4" w:space="0" w:color="9BC2E6"/>
              <w:left w:val="nil"/>
              <w:bottom w:val="nil"/>
              <w:right w:val="nil"/>
            </w:tcBorders>
            <w:shd w:val="clear" w:color="DDEBF7" w:fill="DDEBF7"/>
            <w:noWrap/>
            <w:vAlign w:val="bottom"/>
            <w:hideMark/>
          </w:tcPr>
          <w:p w:rsidR="0038758B" w:rsidRPr="00224519" w:rsidRDefault="0038758B" w:rsidP="0038758B">
            <w:pPr>
              <w:rPr>
                <w:rFonts w:ascii="Verdana" w:hAnsi="Verdana" w:cs="Calibri"/>
                <w:b/>
                <w:bCs/>
                <w:color w:val="000000"/>
                <w:sz w:val="18"/>
                <w:szCs w:val="24"/>
                <w:lang w:eastAsia="en-GB"/>
              </w:rPr>
            </w:pPr>
            <w:r w:rsidRPr="00224519">
              <w:rPr>
                <w:rFonts w:ascii="Verdana" w:hAnsi="Verdana" w:cs="Calibri"/>
                <w:b/>
                <w:bCs/>
                <w:color w:val="000000"/>
                <w:sz w:val="18"/>
                <w:szCs w:val="24"/>
                <w:lang w:eastAsia="en-GB"/>
              </w:rPr>
              <w:t>Grand Total</w:t>
            </w:r>
          </w:p>
        </w:tc>
        <w:tc>
          <w:tcPr>
            <w:tcW w:w="1796" w:type="dxa"/>
            <w:tcBorders>
              <w:top w:val="single" w:sz="4" w:space="0" w:color="9BC2E6"/>
              <w:left w:val="nil"/>
              <w:bottom w:val="nil"/>
              <w:right w:val="nil"/>
            </w:tcBorders>
            <w:shd w:val="clear" w:color="DDEBF7" w:fill="DDEBF7"/>
            <w:noWrap/>
            <w:vAlign w:val="bottom"/>
            <w:hideMark/>
          </w:tcPr>
          <w:p w:rsidR="0038758B" w:rsidRPr="00224519" w:rsidRDefault="0038758B" w:rsidP="0038758B">
            <w:pPr>
              <w:jc w:val="right"/>
              <w:rPr>
                <w:rFonts w:ascii="Verdana" w:hAnsi="Verdana" w:cs="Calibri"/>
                <w:b/>
                <w:bCs/>
                <w:color w:val="000000"/>
                <w:sz w:val="18"/>
                <w:szCs w:val="24"/>
                <w:lang w:eastAsia="en-GB"/>
              </w:rPr>
            </w:pPr>
            <w:r w:rsidRPr="00224519">
              <w:rPr>
                <w:rFonts w:ascii="Verdana" w:hAnsi="Verdana" w:cs="Calibri"/>
                <w:b/>
                <w:bCs/>
                <w:color w:val="000000"/>
                <w:sz w:val="18"/>
                <w:szCs w:val="24"/>
                <w:lang w:eastAsia="en-GB"/>
              </w:rPr>
              <w:t>5</w:t>
            </w:r>
          </w:p>
        </w:tc>
        <w:tc>
          <w:tcPr>
            <w:tcW w:w="1457" w:type="dxa"/>
            <w:tcBorders>
              <w:top w:val="single" w:sz="4" w:space="0" w:color="9BC2E6"/>
              <w:left w:val="nil"/>
              <w:bottom w:val="nil"/>
              <w:right w:val="nil"/>
            </w:tcBorders>
            <w:shd w:val="clear" w:color="DDEBF7" w:fill="DDEBF7"/>
            <w:noWrap/>
            <w:vAlign w:val="bottom"/>
            <w:hideMark/>
          </w:tcPr>
          <w:p w:rsidR="0038758B" w:rsidRPr="00224519" w:rsidRDefault="0038758B" w:rsidP="0038758B">
            <w:pPr>
              <w:jc w:val="right"/>
              <w:rPr>
                <w:rFonts w:ascii="Verdana" w:hAnsi="Verdana" w:cs="Calibri"/>
                <w:b/>
                <w:bCs/>
                <w:color w:val="000000"/>
                <w:sz w:val="18"/>
                <w:szCs w:val="24"/>
                <w:lang w:eastAsia="en-GB"/>
              </w:rPr>
            </w:pPr>
            <w:r w:rsidRPr="00224519">
              <w:rPr>
                <w:rFonts w:ascii="Verdana" w:hAnsi="Verdana" w:cs="Calibri"/>
                <w:b/>
                <w:bCs/>
                <w:color w:val="000000"/>
                <w:sz w:val="18"/>
                <w:szCs w:val="24"/>
                <w:lang w:eastAsia="en-GB"/>
              </w:rPr>
              <w:t>4</w:t>
            </w:r>
          </w:p>
        </w:tc>
        <w:tc>
          <w:tcPr>
            <w:tcW w:w="1102" w:type="dxa"/>
            <w:tcBorders>
              <w:top w:val="single" w:sz="4" w:space="0" w:color="9BC2E6"/>
              <w:left w:val="nil"/>
              <w:bottom w:val="nil"/>
              <w:right w:val="nil"/>
            </w:tcBorders>
            <w:shd w:val="clear" w:color="DDEBF7" w:fill="DDEBF7"/>
            <w:noWrap/>
            <w:vAlign w:val="bottom"/>
            <w:hideMark/>
          </w:tcPr>
          <w:p w:rsidR="0038758B" w:rsidRPr="00224519" w:rsidRDefault="0038758B" w:rsidP="0038758B">
            <w:pPr>
              <w:jc w:val="right"/>
              <w:rPr>
                <w:rFonts w:ascii="Verdana" w:hAnsi="Verdana" w:cs="Calibri"/>
                <w:b/>
                <w:bCs/>
                <w:color w:val="000000"/>
                <w:sz w:val="18"/>
                <w:szCs w:val="24"/>
                <w:lang w:eastAsia="en-GB"/>
              </w:rPr>
            </w:pPr>
            <w:r w:rsidRPr="00224519">
              <w:rPr>
                <w:rFonts w:ascii="Verdana" w:hAnsi="Verdana" w:cs="Calibri"/>
                <w:b/>
                <w:bCs/>
                <w:color w:val="000000"/>
                <w:sz w:val="18"/>
                <w:szCs w:val="24"/>
                <w:lang w:eastAsia="en-GB"/>
              </w:rPr>
              <w:t>3</w:t>
            </w:r>
          </w:p>
        </w:tc>
        <w:tc>
          <w:tcPr>
            <w:tcW w:w="550" w:type="dxa"/>
            <w:tcBorders>
              <w:top w:val="single" w:sz="4" w:space="0" w:color="9BC2E6"/>
              <w:left w:val="nil"/>
              <w:bottom w:val="nil"/>
              <w:right w:val="nil"/>
            </w:tcBorders>
            <w:shd w:val="clear" w:color="DDEBF7" w:fill="DDEBF7"/>
          </w:tcPr>
          <w:p w:rsidR="0038758B" w:rsidRPr="00224519" w:rsidRDefault="0038758B" w:rsidP="0038758B">
            <w:pPr>
              <w:jc w:val="right"/>
              <w:rPr>
                <w:rFonts w:ascii="Verdana" w:hAnsi="Verdana" w:cs="Calibri"/>
                <w:b/>
                <w:bCs/>
                <w:color w:val="000000"/>
                <w:sz w:val="18"/>
                <w:szCs w:val="24"/>
                <w:lang w:eastAsia="en-GB"/>
              </w:rPr>
            </w:pPr>
          </w:p>
        </w:tc>
        <w:tc>
          <w:tcPr>
            <w:tcW w:w="996" w:type="dxa"/>
            <w:tcBorders>
              <w:top w:val="single" w:sz="4" w:space="0" w:color="9BC2E6"/>
              <w:left w:val="nil"/>
              <w:bottom w:val="nil"/>
              <w:right w:val="nil"/>
            </w:tcBorders>
            <w:shd w:val="clear" w:color="DDEBF7" w:fill="DDEBF7"/>
            <w:noWrap/>
            <w:vAlign w:val="bottom"/>
            <w:hideMark/>
          </w:tcPr>
          <w:p w:rsidR="0038758B" w:rsidRPr="00224519" w:rsidRDefault="0038758B" w:rsidP="0038758B">
            <w:pPr>
              <w:jc w:val="right"/>
              <w:rPr>
                <w:rFonts w:ascii="Verdana" w:hAnsi="Verdana" w:cs="Calibri"/>
                <w:b/>
                <w:bCs/>
                <w:color w:val="000000"/>
                <w:sz w:val="18"/>
                <w:szCs w:val="24"/>
                <w:lang w:eastAsia="en-GB"/>
              </w:rPr>
            </w:pPr>
            <w:r w:rsidRPr="00224519">
              <w:rPr>
                <w:rFonts w:ascii="Verdana" w:hAnsi="Verdana" w:cs="Calibri"/>
                <w:b/>
                <w:bCs/>
                <w:color w:val="000000"/>
                <w:sz w:val="18"/>
                <w:szCs w:val="24"/>
                <w:lang w:eastAsia="en-GB"/>
              </w:rPr>
              <w:t>10</w:t>
            </w:r>
          </w:p>
        </w:tc>
        <w:tc>
          <w:tcPr>
            <w:tcW w:w="1102" w:type="dxa"/>
            <w:tcBorders>
              <w:top w:val="single" w:sz="4" w:space="0" w:color="9BC2E6"/>
              <w:left w:val="nil"/>
              <w:bottom w:val="nil"/>
              <w:right w:val="nil"/>
            </w:tcBorders>
            <w:shd w:val="clear" w:color="DDEBF7" w:fill="DDEBF7"/>
            <w:noWrap/>
            <w:vAlign w:val="bottom"/>
            <w:hideMark/>
          </w:tcPr>
          <w:p w:rsidR="0038758B" w:rsidRPr="00224519" w:rsidRDefault="0038758B" w:rsidP="0038758B">
            <w:pPr>
              <w:jc w:val="right"/>
              <w:rPr>
                <w:rFonts w:ascii="Verdana" w:hAnsi="Verdana" w:cs="Calibri"/>
                <w:b/>
                <w:bCs/>
                <w:color w:val="000000"/>
                <w:sz w:val="18"/>
                <w:szCs w:val="24"/>
                <w:lang w:eastAsia="en-GB"/>
              </w:rPr>
            </w:pPr>
            <w:r w:rsidRPr="00224519">
              <w:rPr>
                <w:rFonts w:ascii="Verdana" w:hAnsi="Verdana" w:cs="Calibri"/>
                <w:b/>
                <w:bCs/>
                <w:color w:val="000000"/>
                <w:sz w:val="18"/>
                <w:szCs w:val="24"/>
                <w:lang w:eastAsia="en-GB"/>
              </w:rPr>
              <w:t>5</w:t>
            </w:r>
          </w:p>
        </w:tc>
        <w:tc>
          <w:tcPr>
            <w:tcW w:w="1196" w:type="dxa"/>
            <w:tcBorders>
              <w:top w:val="single" w:sz="4" w:space="0" w:color="9BC2E6"/>
              <w:left w:val="nil"/>
              <w:bottom w:val="nil"/>
              <w:right w:val="nil"/>
            </w:tcBorders>
            <w:shd w:val="clear" w:color="DDEBF7" w:fill="DDEBF7"/>
            <w:noWrap/>
            <w:vAlign w:val="bottom"/>
            <w:hideMark/>
          </w:tcPr>
          <w:p w:rsidR="0038758B" w:rsidRPr="00224519" w:rsidRDefault="0038758B" w:rsidP="0038758B">
            <w:pPr>
              <w:jc w:val="right"/>
              <w:rPr>
                <w:rFonts w:ascii="Verdana" w:hAnsi="Verdana" w:cs="Calibri"/>
                <w:b/>
                <w:bCs/>
                <w:color w:val="000000"/>
                <w:sz w:val="18"/>
                <w:szCs w:val="24"/>
                <w:lang w:eastAsia="en-GB"/>
              </w:rPr>
            </w:pPr>
            <w:r w:rsidRPr="00224519">
              <w:rPr>
                <w:rFonts w:ascii="Verdana" w:hAnsi="Verdana" w:cs="Calibri"/>
                <w:b/>
                <w:bCs/>
                <w:color w:val="000000"/>
                <w:sz w:val="18"/>
                <w:szCs w:val="24"/>
                <w:lang w:eastAsia="en-GB"/>
              </w:rPr>
              <w:t>27</w:t>
            </w:r>
          </w:p>
        </w:tc>
      </w:tr>
    </w:tbl>
    <w:p w:rsidR="007C5A56" w:rsidRPr="00224519" w:rsidRDefault="007C5A56" w:rsidP="00780BB9">
      <w:pPr>
        <w:jc w:val="both"/>
        <w:rPr>
          <w:rFonts w:ascii="Verdana" w:hAnsi="Verdana" w:cs="Arial"/>
          <w:sz w:val="24"/>
          <w:szCs w:val="24"/>
          <w:lang w:eastAsia="en-GB"/>
        </w:rPr>
      </w:pPr>
    </w:p>
    <w:p w:rsidR="0043359F" w:rsidRPr="00224519" w:rsidRDefault="0038758B" w:rsidP="00D45388">
      <w:pPr>
        <w:pStyle w:val="ListParagraph"/>
        <w:numPr>
          <w:ilvl w:val="0"/>
          <w:numId w:val="1"/>
        </w:numPr>
        <w:ind w:left="426" w:hanging="426"/>
        <w:jc w:val="both"/>
        <w:rPr>
          <w:rFonts w:ascii="Verdana" w:hAnsi="Verdana" w:cs="Arial"/>
          <w:sz w:val="24"/>
          <w:szCs w:val="24"/>
        </w:rPr>
      </w:pPr>
      <w:r w:rsidRPr="00224519">
        <w:rPr>
          <w:rFonts w:ascii="Verdana" w:hAnsi="Verdana" w:cs="Arial"/>
          <w:sz w:val="24"/>
          <w:szCs w:val="24"/>
        </w:rPr>
        <w:t>WAST has re</w:t>
      </w:r>
      <w:r w:rsidR="00C419B3" w:rsidRPr="00224519">
        <w:rPr>
          <w:rFonts w:ascii="Verdana" w:hAnsi="Verdana" w:cs="Arial"/>
          <w:sz w:val="24"/>
          <w:szCs w:val="24"/>
        </w:rPr>
        <w:t>viewed the report and assessed</w:t>
      </w:r>
      <w:r w:rsidRPr="00224519">
        <w:rPr>
          <w:rFonts w:ascii="Verdana" w:hAnsi="Verdana" w:cs="Arial"/>
          <w:sz w:val="24"/>
          <w:szCs w:val="24"/>
        </w:rPr>
        <w:t xml:space="preserve"> itself against the commissioning intentions and has the following analysis:-</w:t>
      </w:r>
    </w:p>
    <w:p w:rsidR="0038758B" w:rsidRPr="00224519" w:rsidRDefault="0038758B" w:rsidP="0038758B">
      <w:pPr>
        <w:jc w:val="both"/>
        <w:rPr>
          <w:rFonts w:ascii="Verdana" w:hAnsi="Verdana" w:cs="Arial"/>
          <w:sz w:val="24"/>
          <w:szCs w:val="24"/>
        </w:rPr>
      </w:pPr>
    </w:p>
    <w:tbl>
      <w:tblPr>
        <w:tblW w:w="9724" w:type="dxa"/>
        <w:tblLook w:val="04A0" w:firstRow="1" w:lastRow="0" w:firstColumn="1" w:lastColumn="0" w:noHBand="0" w:noVBand="1"/>
      </w:tblPr>
      <w:tblGrid>
        <w:gridCol w:w="1540"/>
        <w:gridCol w:w="1796"/>
        <w:gridCol w:w="1567"/>
        <w:gridCol w:w="1206"/>
        <w:gridCol w:w="222"/>
        <w:gridCol w:w="1063"/>
        <w:gridCol w:w="1168"/>
        <w:gridCol w:w="1196"/>
      </w:tblGrid>
      <w:tr w:rsidR="0038758B" w:rsidRPr="00224519" w:rsidTr="009E2067">
        <w:trPr>
          <w:trHeight w:val="290"/>
        </w:trPr>
        <w:tc>
          <w:tcPr>
            <w:tcW w:w="1525" w:type="dxa"/>
            <w:tcBorders>
              <w:top w:val="nil"/>
              <w:left w:val="nil"/>
              <w:bottom w:val="nil"/>
              <w:right w:val="nil"/>
            </w:tcBorders>
            <w:shd w:val="clear" w:color="DDEBF7" w:fill="DDEBF7"/>
            <w:noWrap/>
            <w:vAlign w:val="bottom"/>
            <w:hideMark/>
          </w:tcPr>
          <w:p w:rsidR="0038758B" w:rsidRPr="00224519" w:rsidRDefault="0038758B" w:rsidP="009E2067">
            <w:pPr>
              <w:rPr>
                <w:rFonts w:ascii="Verdana" w:hAnsi="Verdana" w:cs="Calibri"/>
                <w:b/>
                <w:bCs/>
                <w:color w:val="000000"/>
                <w:sz w:val="18"/>
                <w:szCs w:val="24"/>
                <w:lang w:eastAsia="en-GB"/>
              </w:rPr>
            </w:pPr>
            <w:r w:rsidRPr="00224519">
              <w:rPr>
                <w:rFonts w:ascii="Verdana" w:hAnsi="Verdana" w:cs="Calibri"/>
                <w:b/>
                <w:bCs/>
                <w:color w:val="000000"/>
                <w:sz w:val="18"/>
                <w:szCs w:val="24"/>
                <w:lang w:eastAsia="en-GB"/>
              </w:rPr>
              <w:t>EMS</w:t>
            </w:r>
          </w:p>
        </w:tc>
        <w:tc>
          <w:tcPr>
            <w:tcW w:w="1796" w:type="dxa"/>
            <w:tcBorders>
              <w:top w:val="nil"/>
              <w:left w:val="nil"/>
              <w:bottom w:val="nil"/>
              <w:right w:val="nil"/>
            </w:tcBorders>
            <w:shd w:val="clear" w:color="DDEBF7" w:fill="DDEBF7"/>
            <w:noWrap/>
            <w:vAlign w:val="bottom"/>
            <w:hideMark/>
          </w:tcPr>
          <w:p w:rsidR="0038758B" w:rsidRPr="00224519" w:rsidRDefault="0038758B" w:rsidP="009E2067">
            <w:pPr>
              <w:rPr>
                <w:rFonts w:ascii="Verdana" w:hAnsi="Verdana" w:cs="Calibri"/>
                <w:b/>
                <w:bCs/>
                <w:color w:val="DDEBF7"/>
                <w:sz w:val="18"/>
                <w:szCs w:val="24"/>
                <w:lang w:eastAsia="en-GB"/>
              </w:rPr>
            </w:pPr>
            <w:r w:rsidRPr="00224519">
              <w:rPr>
                <w:rFonts w:ascii="Verdana" w:hAnsi="Verdana" w:cs="Calibri"/>
                <w:b/>
                <w:bCs/>
                <w:color w:val="DDEBF7"/>
                <w:sz w:val="18"/>
                <w:szCs w:val="24"/>
                <w:lang w:eastAsia="en-GB"/>
              </w:rPr>
              <w:t>Column Labels</w:t>
            </w:r>
          </w:p>
        </w:tc>
        <w:tc>
          <w:tcPr>
            <w:tcW w:w="1457" w:type="dxa"/>
            <w:tcBorders>
              <w:top w:val="nil"/>
              <w:left w:val="nil"/>
              <w:bottom w:val="nil"/>
              <w:right w:val="nil"/>
            </w:tcBorders>
            <w:shd w:val="clear" w:color="DDEBF7" w:fill="DDEBF7"/>
            <w:noWrap/>
            <w:vAlign w:val="bottom"/>
            <w:hideMark/>
          </w:tcPr>
          <w:p w:rsidR="0038758B" w:rsidRPr="00224519" w:rsidRDefault="0038758B" w:rsidP="009E2067">
            <w:pPr>
              <w:rPr>
                <w:rFonts w:ascii="Verdana" w:hAnsi="Verdana" w:cs="Calibri"/>
                <w:b/>
                <w:bCs/>
                <w:color w:val="DDEBF7"/>
                <w:sz w:val="18"/>
                <w:szCs w:val="24"/>
                <w:lang w:eastAsia="en-GB"/>
              </w:rPr>
            </w:pPr>
          </w:p>
        </w:tc>
        <w:tc>
          <w:tcPr>
            <w:tcW w:w="1102" w:type="dxa"/>
            <w:tcBorders>
              <w:top w:val="nil"/>
              <w:left w:val="nil"/>
              <w:bottom w:val="nil"/>
              <w:right w:val="nil"/>
            </w:tcBorders>
            <w:shd w:val="clear" w:color="DDEBF7" w:fill="DDEBF7"/>
            <w:noWrap/>
            <w:vAlign w:val="bottom"/>
            <w:hideMark/>
          </w:tcPr>
          <w:p w:rsidR="0038758B" w:rsidRPr="00224519" w:rsidRDefault="0038758B" w:rsidP="009E2067">
            <w:pPr>
              <w:rPr>
                <w:rFonts w:ascii="Verdana" w:hAnsi="Verdana"/>
                <w:sz w:val="18"/>
                <w:szCs w:val="24"/>
                <w:lang w:eastAsia="en-GB"/>
              </w:rPr>
            </w:pPr>
          </w:p>
        </w:tc>
        <w:tc>
          <w:tcPr>
            <w:tcW w:w="550" w:type="dxa"/>
            <w:tcBorders>
              <w:top w:val="nil"/>
              <w:left w:val="nil"/>
              <w:bottom w:val="nil"/>
              <w:right w:val="nil"/>
            </w:tcBorders>
            <w:shd w:val="clear" w:color="DDEBF7" w:fill="DDEBF7"/>
          </w:tcPr>
          <w:p w:rsidR="0038758B" w:rsidRPr="00224519" w:rsidRDefault="0038758B" w:rsidP="009E2067">
            <w:pPr>
              <w:rPr>
                <w:rFonts w:ascii="Verdana" w:hAnsi="Verdana"/>
                <w:sz w:val="18"/>
                <w:szCs w:val="24"/>
                <w:lang w:eastAsia="en-GB"/>
              </w:rPr>
            </w:pPr>
          </w:p>
        </w:tc>
        <w:tc>
          <w:tcPr>
            <w:tcW w:w="996" w:type="dxa"/>
            <w:tcBorders>
              <w:top w:val="nil"/>
              <w:left w:val="nil"/>
              <w:bottom w:val="nil"/>
              <w:right w:val="nil"/>
            </w:tcBorders>
            <w:shd w:val="clear" w:color="DDEBF7" w:fill="DDEBF7"/>
            <w:noWrap/>
            <w:vAlign w:val="bottom"/>
            <w:hideMark/>
          </w:tcPr>
          <w:p w:rsidR="0038758B" w:rsidRPr="00224519" w:rsidRDefault="0038758B" w:rsidP="009E2067">
            <w:pPr>
              <w:rPr>
                <w:rFonts w:ascii="Verdana" w:hAnsi="Verdana"/>
                <w:sz w:val="18"/>
                <w:szCs w:val="24"/>
                <w:lang w:eastAsia="en-GB"/>
              </w:rPr>
            </w:pPr>
          </w:p>
        </w:tc>
        <w:tc>
          <w:tcPr>
            <w:tcW w:w="1102" w:type="dxa"/>
            <w:tcBorders>
              <w:top w:val="nil"/>
              <w:left w:val="nil"/>
              <w:bottom w:val="nil"/>
              <w:right w:val="nil"/>
            </w:tcBorders>
            <w:shd w:val="clear" w:color="DDEBF7" w:fill="DDEBF7"/>
            <w:noWrap/>
            <w:vAlign w:val="bottom"/>
            <w:hideMark/>
          </w:tcPr>
          <w:p w:rsidR="0038758B" w:rsidRPr="00224519" w:rsidRDefault="0038758B" w:rsidP="009E2067">
            <w:pPr>
              <w:rPr>
                <w:rFonts w:ascii="Verdana" w:hAnsi="Verdana"/>
                <w:sz w:val="18"/>
                <w:szCs w:val="24"/>
                <w:lang w:eastAsia="en-GB"/>
              </w:rPr>
            </w:pPr>
          </w:p>
        </w:tc>
        <w:tc>
          <w:tcPr>
            <w:tcW w:w="1196" w:type="dxa"/>
            <w:tcBorders>
              <w:top w:val="nil"/>
              <w:left w:val="nil"/>
              <w:bottom w:val="nil"/>
              <w:right w:val="nil"/>
            </w:tcBorders>
            <w:shd w:val="clear" w:color="DDEBF7" w:fill="DDEBF7"/>
            <w:noWrap/>
            <w:vAlign w:val="bottom"/>
            <w:hideMark/>
          </w:tcPr>
          <w:p w:rsidR="0038758B" w:rsidRPr="00224519" w:rsidRDefault="0038758B" w:rsidP="009E2067">
            <w:pPr>
              <w:rPr>
                <w:rFonts w:ascii="Verdana" w:hAnsi="Verdana"/>
                <w:sz w:val="18"/>
                <w:szCs w:val="24"/>
                <w:lang w:eastAsia="en-GB"/>
              </w:rPr>
            </w:pPr>
          </w:p>
        </w:tc>
      </w:tr>
      <w:tr w:rsidR="0038758B" w:rsidRPr="00224519" w:rsidTr="009E2067">
        <w:trPr>
          <w:trHeight w:val="290"/>
        </w:trPr>
        <w:tc>
          <w:tcPr>
            <w:tcW w:w="1525" w:type="dxa"/>
            <w:tcBorders>
              <w:top w:val="nil"/>
              <w:left w:val="nil"/>
              <w:bottom w:val="single" w:sz="4" w:space="0" w:color="9BC2E6"/>
              <w:right w:val="nil"/>
            </w:tcBorders>
            <w:shd w:val="clear" w:color="DDEBF7" w:fill="DDEBF7"/>
            <w:noWrap/>
            <w:vAlign w:val="bottom"/>
            <w:hideMark/>
          </w:tcPr>
          <w:p w:rsidR="0038758B" w:rsidRPr="00224519" w:rsidRDefault="0038758B" w:rsidP="009E2067">
            <w:pPr>
              <w:rPr>
                <w:rFonts w:ascii="Verdana" w:hAnsi="Verdana" w:cs="Calibri"/>
                <w:b/>
                <w:bCs/>
                <w:color w:val="DDEBF7"/>
                <w:sz w:val="18"/>
                <w:szCs w:val="24"/>
                <w:lang w:eastAsia="en-GB"/>
              </w:rPr>
            </w:pPr>
            <w:r w:rsidRPr="00224519">
              <w:rPr>
                <w:rFonts w:ascii="Verdana" w:hAnsi="Verdana" w:cs="Calibri"/>
                <w:b/>
                <w:bCs/>
                <w:color w:val="DDEBF7"/>
                <w:sz w:val="18"/>
                <w:szCs w:val="24"/>
                <w:lang w:eastAsia="en-GB"/>
              </w:rPr>
              <w:t>Row Labels</w:t>
            </w:r>
          </w:p>
        </w:tc>
        <w:tc>
          <w:tcPr>
            <w:tcW w:w="1796" w:type="dxa"/>
            <w:tcBorders>
              <w:top w:val="nil"/>
              <w:left w:val="nil"/>
              <w:bottom w:val="single" w:sz="4" w:space="0" w:color="9BC2E6"/>
              <w:right w:val="nil"/>
            </w:tcBorders>
            <w:shd w:val="clear" w:color="DDEBF7" w:fill="DDEBF7"/>
            <w:noWrap/>
            <w:vAlign w:val="bottom"/>
            <w:hideMark/>
          </w:tcPr>
          <w:p w:rsidR="0038758B" w:rsidRPr="00224519" w:rsidRDefault="0038758B" w:rsidP="009E2067">
            <w:pPr>
              <w:rPr>
                <w:rFonts w:ascii="Verdana" w:hAnsi="Verdana" w:cs="Calibri"/>
                <w:b/>
                <w:bCs/>
                <w:color w:val="000000"/>
                <w:sz w:val="18"/>
                <w:szCs w:val="24"/>
                <w:lang w:eastAsia="en-GB"/>
              </w:rPr>
            </w:pPr>
            <w:r w:rsidRPr="00224519">
              <w:rPr>
                <w:rFonts w:ascii="Verdana" w:hAnsi="Verdana" w:cs="Calibri"/>
                <w:b/>
                <w:bCs/>
                <w:color w:val="000000"/>
                <w:sz w:val="18"/>
                <w:szCs w:val="24"/>
                <w:lang w:eastAsia="en-GB"/>
              </w:rPr>
              <w:t>Completed</w:t>
            </w:r>
          </w:p>
        </w:tc>
        <w:tc>
          <w:tcPr>
            <w:tcW w:w="1457" w:type="dxa"/>
            <w:tcBorders>
              <w:top w:val="nil"/>
              <w:left w:val="nil"/>
              <w:bottom w:val="single" w:sz="4" w:space="0" w:color="9BC2E6"/>
              <w:right w:val="nil"/>
            </w:tcBorders>
            <w:shd w:val="clear" w:color="DDEBF7" w:fill="DDEBF7"/>
            <w:noWrap/>
            <w:vAlign w:val="bottom"/>
            <w:hideMark/>
          </w:tcPr>
          <w:p w:rsidR="0038758B" w:rsidRPr="00224519" w:rsidRDefault="0038758B" w:rsidP="009E2067">
            <w:pPr>
              <w:rPr>
                <w:rFonts w:ascii="Verdana" w:hAnsi="Verdana" w:cs="Calibri"/>
                <w:b/>
                <w:bCs/>
                <w:color w:val="000000"/>
                <w:sz w:val="18"/>
                <w:szCs w:val="24"/>
                <w:lang w:eastAsia="en-GB"/>
              </w:rPr>
            </w:pPr>
            <w:r w:rsidRPr="00224519">
              <w:rPr>
                <w:rFonts w:ascii="Verdana" w:hAnsi="Verdana" w:cs="Calibri"/>
                <w:b/>
                <w:bCs/>
                <w:color w:val="000000"/>
                <w:sz w:val="18"/>
                <w:szCs w:val="24"/>
                <w:lang w:eastAsia="en-GB"/>
              </w:rPr>
              <w:t>Deterioration</w:t>
            </w:r>
          </w:p>
        </w:tc>
        <w:tc>
          <w:tcPr>
            <w:tcW w:w="1102" w:type="dxa"/>
            <w:tcBorders>
              <w:top w:val="nil"/>
              <w:left w:val="nil"/>
              <w:bottom w:val="single" w:sz="4" w:space="0" w:color="9BC2E6"/>
              <w:right w:val="nil"/>
            </w:tcBorders>
            <w:shd w:val="clear" w:color="DDEBF7" w:fill="DDEBF7"/>
            <w:noWrap/>
            <w:vAlign w:val="bottom"/>
            <w:hideMark/>
          </w:tcPr>
          <w:p w:rsidR="0038758B" w:rsidRPr="00224519" w:rsidRDefault="0038758B" w:rsidP="009E2067">
            <w:pPr>
              <w:rPr>
                <w:rFonts w:ascii="Verdana" w:hAnsi="Verdana" w:cs="Calibri"/>
                <w:b/>
                <w:bCs/>
                <w:color w:val="000000"/>
                <w:sz w:val="18"/>
                <w:szCs w:val="24"/>
                <w:lang w:eastAsia="en-GB"/>
              </w:rPr>
            </w:pPr>
            <w:r w:rsidRPr="00224519">
              <w:rPr>
                <w:rFonts w:ascii="Verdana" w:hAnsi="Verdana" w:cs="Calibri"/>
                <w:b/>
                <w:bCs/>
                <w:color w:val="000000"/>
                <w:sz w:val="18"/>
                <w:szCs w:val="24"/>
                <w:lang w:eastAsia="en-GB"/>
              </w:rPr>
              <w:t>Improved</w:t>
            </w:r>
          </w:p>
        </w:tc>
        <w:tc>
          <w:tcPr>
            <w:tcW w:w="550" w:type="dxa"/>
            <w:tcBorders>
              <w:top w:val="nil"/>
              <w:left w:val="nil"/>
              <w:bottom w:val="single" w:sz="4" w:space="0" w:color="9BC2E6"/>
              <w:right w:val="nil"/>
            </w:tcBorders>
            <w:shd w:val="clear" w:color="DDEBF7" w:fill="DDEBF7"/>
          </w:tcPr>
          <w:p w:rsidR="0038758B" w:rsidRPr="00224519" w:rsidRDefault="0038758B" w:rsidP="009E2067">
            <w:pPr>
              <w:rPr>
                <w:rFonts w:ascii="Verdana" w:hAnsi="Verdana" w:cs="Calibri"/>
                <w:b/>
                <w:bCs/>
                <w:color w:val="000000"/>
                <w:sz w:val="18"/>
                <w:szCs w:val="24"/>
                <w:lang w:eastAsia="en-GB"/>
              </w:rPr>
            </w:pPr>
          </w:p>
        </w:tc>
        <w:tc>
          <w:tcPr>
            <w:tcW w:w="996" w:type="dxa"/>
            <w:tcBorders>
              <w:top w:val="nil"/>
              <w:left w:val="nil"/>
              <w:bottom w:val="single" w:sz="4" w:space="0" w:color="9BC2E6"/>
              <w:right w:val="nil"/>
            </w:tcBorders>
            <w:shd w:val="clear" w:color="DDEBF7" w:fill="DDEBF7"/>
            <w:noWrap/>
            <w:vAlign w:val="bottom"/>
            <w:hideMark/>
          </w:tcPr>
          <w:p w:rsidR="0038758B" w:rsidRPr="00224519" w:rsidRDefault="0038758B" w:rsidP="009E2067">
            <w:pPr>
              <w:rPr>
                <w:rFonts w:ascii="Verdana" w:hAnsi="Verdana" w:cs="Calibri"/>
                <w:b/>
                <w:bCs/>
                <w:color w:val="000000"/>
                <w:sz w:val="18"/>
                <w:szCs w:val="24"/>
                <w:lang w:eastAsia="en-GB"/>
              </w:rPr>
            </w:pPr>
            <w:r w:rsidRPr="00224519">
              <w:rPr>
                <w:rFonts w:ascii="Verdana" w:hAnsi="Verdana" w:cs="Calibri"/>
                <w:b/>
                <w:bCs/>
                <w:color w:val="000000"/>
                <w:sz w:val="18"/>
                <w:szCs w:val="24"/>
                <w:lang w:eastAsia="en-GB"/>
              </w:rPr>
              <w:t>Ongoing</w:t>
            </w:r>
          </w:p>
        </w:tc>
        <w:tc>
          <w:tcPr>
            <w:tcW w:w="1102" w:type="dxa"/>
            <w:tcBorders>
              <w:top w:val="nil"/>
              <w:left w:val="nil"/>
              <w:bottom w:val="single" w:sz="4" w:space="0" w:color="9BC2E6"/>
              <w:right w:val="nil"/>
            </w:tcBorders>
            <w:shd w:val="clear" w:color="DDEBF7" w:fill="DDEBF7"/>
            <w:noWrap/>
            <w:vAlign w:val="bottom"/>
            <w:hideMark/>
          </w:tcPr>
          <w:p w:rsidR="0038758B" w:rsidRPr="00224519" w:rsidRDefault="0038758B" w:rsidP="009E2067">
            <w:pPr>
              <w:rPr>
                <w:rFonts w:ascii="Verdana" w:hAnsi="Verdana" w:cs="Calibri"/>
                <w:b/>
                <w:bCs/>
                <w:color w:val="000000"/>
                <w:sz w:val="18"/>
                <w:szCs w:val="24"/>
                <w:lang w:eastAsia="en-GB"/>
              </w:rPr>
            </w:pPr>
            <w:r w:rsidRPr="00224519">
              <w:rPr>
                <w:rFonts w:ascii="Verdana" w:hAnsi="Verdana" w:cs="Calibri"/>
                <w:b/>
                <w:bCs/>
                <w:color w:val="000000"/>
                <w:sz w:val="18"/>
                <w:szCs w:val="24"/>
                <w:lang w:eastAsia="en-GB"/>
              </w:rPr>
              <w:t>Unknown</w:t>
            </w:r>
          </w:p>
        </w:tc>
        <w:tc>
          <w:tcPr>
            <w:tcW w:w="1196" w:type="dxa"/>
            <w:tcBorders>
              <w:top w:val="nil"/>
              <w:left w:val="nil"/>
              <w:bottom w:val="single" w:sz="4" w:space="0" w:color="9BC2E6"/>
              <w:right w:val="nil"/>
            </w:tcBorders>
            <w:shd w:val="clear" w:color="DDEBF7" w:fill="DDEBF7"/>
            <w:noWrap/>
            <w:vAlign w:val="bottom"/>
            <w:hideMark/>
          </w:tcPr>
          <w:p w:rsidR="0038758B" w:rsidRPr="00224519" w:rsidRDefault="0038758B" w:rsidP="009E2067">
            <w:pPr>
              <w:rPr>
                <w:rFonts w:ascii="Verdana" w:hAnsi="Verdana" w:cs="Calibri"/>
                <w:b/>
                <w:bCs/>
                <w:color w:val="000000"/>
                <w:sz w:val="18"/>
                <w:szCs w:val="24"/>
                <w:lang w:eastAsia="en-GB"/>
              </w:rPr>
            </w:pPr>
            <w:r w:rsidRPr="00224519">
              <w:rPr>
                <w:rFonts w:ascii="Verdana" w:hAnsi="Verdana" w:cs="Calibri"/>
                <w:b/>
                <w:bCs/>
                <w:color w:val="000000"/>
                <w:sz w:val="18"/>
                <w:szCs w:val="24"/>
                <w:lang w:eastAsia="en-GB"/>
              </w:rPr>
              <w:t>Grand Total</w:t>
            </w:r>
          </w:p>
        </w:tc>
      </w:tr>
      <w:tr w:rsidR="0038758B" w:rsidRPr="00224519" w:rsidTr="009E2067">
        <w:trPr>
          <w:trHeight w:val="290"/>
        </w:trPr>
        <w:tc>
          <w:tcPr>
            <w:tcW w:w="1525" w:type="dxa"/>
            <w:tcBorders>
              <w:top w:val="nil"/>
              <w:left w:val="nil"/>
              <w:bottom w:val="nil"/>
              <w:right w:val="nil"/>
            </w:tcBorders>
            <w:shd w:val="clear" w:color="auto" w:fill="auto"/>
            <w:noWrap/>
            <w:vAlign w:val="bottom"/>
            <w:hideMark/>
          </w:tcPr>
          <w:p w:rsidR="0038758B" w:rsidRPr="00224519" w:rsidRDefault="0038758B" w:rsidP="009E2067">
            <w:pPr>
              <w:rPr>
                <w:rFonts w:ascii="Verdana" w:hAnsi="Verdana" w:cs="Calibri"/>
                <w:color w:val="000000"/>
                <w:sz w:val="18"/>
                <w:szCs w:val="24"/>
                <w:lang w:eastAsia="en-GB"/>
              </w:rPr>
            </w:pPr>
            <w:r w:rsidRPr="00224519">
              <w:rPr>
                <w:rFonts w:ascii="Verdana" w:hAnsi="Verdana" w:cs="Calibri"/>
                <w:color w:val="000000"/>
                <w:sz w:val="18"/>
                <w:szCs w:val="24"/>
                <w:lang w:eastAsia="en-GB"/>
              </w:rPr>
              <w:t>Framework Improvements</w:t>
            </w:r>
          </w:p>
        </w:tc>
        <w:tc>
          <w:tcPr>
            <w:tcW w:w="1796" w:type="dxa"/>
            <w:tcBorders>
              <w:top w:val="nil"/>
              <w:left w:val="nil"/>
              <w:bottom w:val="nil"/>
              <w:right w:val="nil"/>
            </w:tcBorders>
            <w:shd w:val="clear" w:color="auto" w:fill="auto"/>
            <w:noWrap/>
            <w:vAlign w:val="bottom"/>
            <w:hideMark/>
          </w:tcPr>
          <w:p w:rsidR="0038758B" w:rsidRPr="00224519" w:rsidRDefault="00644789" w:rsidP="009E2067">
            <w:pPr>
              <w:jc w:val="right"/>
              <w:rPr>
                <w:rFonts w:ascii="Verdana" w:hAnsi="Verdana" w:cs="Calibri"/>
                <w:color w:val="000000"/>
                <w:sz w:val="18"/>
                <w:szCs w:val="24"/>
                <w:lang w:eastAsia="en-GB"/>
              </w:rPr>
            </w:pPr>
            <w:r w:rsidRPr="00224519">
              <w:rPr>
                <w:rFonts w:ascii="Verdana" w:hAnsi="Verdana" w:cs="Calibri"/>
                <w:color w:val="000000"/>
                <w:sz w:val="18"/>
                <w:szCs w:val="24"/>
                <w:lang w:eastAsia="en-GB"/>
              </w:rPr>
              <w:t>7</w:t>
            </w:r>
          </w:p>
        </w:tc>
        <w:tc>
          <w:tcPr>
            <w:tcW w:w="1457" w:type="dxa"/>
            <w:tcBorders>
              <w:top w:val="nil"/>
              <w:left w:val="nil"/>
              <w:bottom w:val="nil"/>
              <w:right w:val="nil"/>
            </w:tcBorders>
            <w:shd w:val="clear" w:color="auto" w:fill="auto"/>
            <w:noWrap/>
            <w:vAlign w:val="bottom"/>
            <w:hideMark/>
          </w:tcPr>
          <w:p w:rsidR="0038758B" w:rsidRPr="00224519" w:rsidRDefault="00644789" w:rsidP="009E2067">
            <w:pPr>
              <w:jc w:val="right"/>
              <w:rPr>
                <w:rFonts w:ascii="Verdana" w:hAnsi="Verdana" w:cs="Calibri"/>
                <w:color w:val="000000"/>
                <w:sz w:val="18"/>
                <w:szCs w:val="24"/>
                <w:lang w:eastAsia="en-GB"/>
              </w:rPr>
            </w:pPr>
            <w:r w:rsidRPr="00224519">
              <w:rPr>
                <w:rFonts w:ascii="Verdana" w:hAnsi="Verdana" w:cs="Calibri"/>
                <w:color w:val="000000"/>
                <w:sz w:val="18"/>
                <w:szCs w:val="24"/>
                <w:lang w:eastAsia="en-GB"/>
              </w:rPr>
              <w:t>-</w:t>
            </w:r>
          </w:p>
        </w:tc>
        <w:tc>
          <w:tcPr>
            <w:tcW w:w="1102" w:type="dxa"/>
            <w:tcBorders>
              <w:top w:val="nil"/>
              <w:left w:val="nil"/>
              <w:bottom w:val="nil"/>
              <w:right w:val="nil"/>
            </w:tcBorders>
            <w:shd w:val="clear" w:color="auto" w:fill="auto"/>
            <w:noWrap/>
            <w:vAlign w:val="bottom"/>
            <w:hideMark/>
          </w:tcPr>
          <w:p w:rsidR="0038758B" w:rsidRPr="00224519" w:rsidRDefault="00644789" w:rsidP="009E2067">
            <w:pPr>
              <w:jc w:val="right"/>
              <w:rPr>
                <w:rFonts w:ascii="Verdana" w:hAnsi="Verdana" w:cs="Calibri"/>
                <w:color w:val="000000"/>
                <w:sz w:val="18"/>
                <w:szCs w:val="24"/>
                <w:lang w:eastAsia="en-GB"/>
              </w:rPr>
            </w:pPr>
            <w:r w:rsidRPr="00224519">
              <w:rPr>
                <w:rFonts w:ascii="Verdana" w:hAnsi="Verdana" w:cs="Calibri"/>
                <w:color w:val="000000"/>
                <w:sz w:val="18"/>
                <w:szCs w:val="24"/>
                <w:lang w:eastAsia="en-GB"/>
              </w:rPr>
              <w:t>-</w:t>
            </w:r>
          </w:p>
        </w:tc>
        <w:tc>
          <w:tcPr>
            <w:tcW w:w="550" w:type="dxa"/>
            <w:tcBorders>
              <w:top w:val="nil"/>
              <w:left w:val="nil"/>
              <w:bottom w:val="nil"/>
              <w:right w:val="nil"/>
            </w:tcBorders>
          </w:tcPr>
          <w:p w:rsidR="0038758B" w:rsidRPr="00224519" w:rsidRDefault="0038758B" w:rsidP="009E2067">
            <w:pPr>
              <w:jc w:val="right"/>
              <w:rPr>
                <w:rFonts w:ascii="Verdana" w:hAnsi="Verdana" w:cs="Calibri"/>
                <w:color w:val="000000"/>
                <w:sz w:val="18"/>
                <w:szCs w:val="24"/>
                <w:lang w:eastAsia="en-GB"/>
              </w:rPr>
            </w:pPr>
          </w:p>
        </w:tc>
        <w:tc>
          <w:tcPr>
            <w:tcW w:w="996" w:type="dxa"/>
            <w:tcBorders>
              <w:top w:val="nil"/>
              <w:left w:val="nil"/>
              <w:bottom w:val="nil"/>
              <w:right w:val="nil"/>
            </w:tcBorders>
            <w:shd w:val="clear" w:color="auto" w:fill="auto"/>
            <w:noWrap/>
            <w:vAlign w:val="bottom"/>
            <w:hideMark/>
          </w:tcPr>
          <w:p w:rsidR="0038758B" w:rsidRPr="00224519" w:rsidRDefault="00644789" w:rsidP="009E2067">
            <w:pPr>
              <w:jc w:val="right"/>
              <w:rPr>
                <w:rFonts w:ascii="Verdana" w:hAnsi="Verdana" w:cs="Calibri"/>
                <w:color w:val="000000"/>
                <w:sz w:val="18"/>
                <w:szCs w:val="24"/>
                <w:lang w:eastAsia="en-GB"/>
              </w:rPr>
            </w:pPr>
            <w:r w:rsidRPr="00224519">
              <w:rPr>
                <w:rFonts w:ascii="Verdana" w:hAnsi="Verdana" w:cs="Calibri"/>
                <w:color w:val="000000"/>
                <w:sz w:val="18"/>
                <w:szCs w:val="24"/>
                <w:lang w:eastAsia="en-GB"/>
              </w:rPr>
              <w:t>5</w:t>
            </w:r>
          </w:p>
        </w:tc>
        <w:tc>
          <w:tcPr>
            <w:tcW w:w="1102" w:type="dxa"/>
            <w:tcBorders>
              <w:top w:val="nil"/>
              <w:left w:val="nil"/>
              <w:bottom w:val="nil"/>
              <w:right w:val="nil"/>
            </w:tcBorders>
            <w:shd w:val="clear" w:color="auto" w:fill="auto"/>
            <w:noWrap/>
            <w:vAlign w:val="bottom"/>
            <w:hideMark/>
          </w:tcPr>
          <w:p w:rsidR="0038758B" w:rsidRPr="00224519" w:rsidRDefault="00644789" w:rsidP="009E2067">
            <w:pPr>
              <w:jc w:val="right"/>
              <w:rPr>
                <w:rFonts w:ascii="Verdana" w:hAnsi="Verdana" w:cs="Calibri"/>
                <w:color w:val="000000"/>
                <w:sz w:val="18"/>
                <w:szCs w:val="24"/>
                <w:lang w:eastAsia="en-GB"/>
              </w:rPr>
            </w:pPr>
            <w:r w:rsidRPr="00224519">
              <w:rPr>
                <w:rFonts w:ascii="Verdana" w:hAnsi="Verdana" w:cs="Calibri"/>
                <w:color w:val="000000"/>
                <w:sz w:val="18"/>
                <w:szCs w:val="24"/>
                <w:lang w:eastAsia="en-GB"/>
              </w:rPr>
              <w:t>-</w:t>
            </w:r>
          </w:p>
        </w:tc>
        <w:tc>
          <w:tcPr>
            <w:tcW w:w="1196" w:type="dxa"/>
            <w:tcBorders>
              <w:top w:val="nil"/>
              <w:left w:val="nil"/>
              <w:bottom w:val="nil"/>
              <w:right w:val="nil"/>
            </w:tcBorders>
            <w:shd w:val="clear" w:color="auto" w:fill="auto"/>
            <w:noWrap/>
            <w:vAlign w:val="bottom"/>
            <w:hideMark/>
          </w:tcPr>
          <w:p w:rsidR="0038758B" w:rsidRPr="00224519" w:rsidRDefault="00644789" w:rsidP="009E2067">
            <w:pPr>
              <w:jc w:val="right"/>
              <w:rPr>
                <w:rFonts w:ascii="Verdana" w:hAnsi="Verdana" w:cs="Calibri"/>
                <w:color w:val="000000"/>
                <w:sz w:val="18"/>
                <w:szCs w:val="24"/>
                <w:lang w:eastAsia="en-GB"/>
              </w:rPr>
            </w:pPr>
            <w:r w:rsidRPr="00224519">
              <w:rPr>
                <w:rFonts w:ascii="Verdana" w:hAnsi="Verdana" w:cs="Calibri"/>
                <w:color w:val="000000"/>
                <w:sz w:val="18"/>
                <w:szCs w:val="24"/>
                <w:lang w:eastAsia="en-GB"/>
              </w:rPr>
              <w:t>12</w:t>
            </w:r>
          </w:p>
        </w:tc>
      </w:tr>
      <w:tr w:rsidR="0038758B" w:rsidRPr="00224519" w:rsidTr="009E2067">
        <w:trPr>
          <w:trHeight w:val="290"/>
        </w:trPr>
        <w:tc>
          <w:tcPr>
            <w:tcW w:w="1525" w:type="dxa"/>
            <w:tcBorders>
              <w:top w:val="nil"/>
              <w:left w:val="nil"/>
              <w:bottom w:val="nil"/>
              <w:right w:val="nil"/>
            </w:tcBorders>
            <w:shd w:val="clear" w:color="auto" w:fill="auto"/>
            <w:noWrap/>
            <w:vAlign w:val="bottom"/>
            <w:hideMark/>
          </w:tcPr>
          <w:p w:rsidR="0038758B" w:rsidRPr="00224519" w:rsidRDefault="0038758B" w:rsidP="009E2067">
            <w:pPr>
              <w:rPr>
                <w:rFonts w:ascii="Verdana" w:hAnsi="Verdana" w:cs="Calibri"/>
                <w:color w:val="000000"/>
                <w:sz w:val="18"/>
                <w:szCs w:val="24"/>
                <w:lang w:eastAsia="en-GB"/>
              </w:rPr>
            </w:pPr>
            <w:r w:rsidRPr="00224519">
              <w:rPr>
                <w:rFonts w:ascii="Verdana" w:hAnsi="Verdana" w:cs="Calibri"/>
                <w:color w:val="000000"/>
                <w:sz w:val="18"/>
                <w:szCs w:val="24"/>
                <w:lang w:eastAsia="en-GB"/>
              </w:rPr>
              <w:t>WAST Performance Improvements</w:t>
            </w:r>
          </w:p>
        </w:tc>
        <w:tc>
          <w:tcPr>
            <w:tcW w:w="1796" w:type="dxa"/>
            <w:tcBorders>
              <w:top w:val="nil"/>
              <w:left w:val="nil"/>
              <w:bottom w:val="nil"/>
              <w:right w:val="nil"/>
            </w:tcBorders>
            <w:shd w:val="clear" w:color="auto" w:fill="auto"/>
            <w:noWrap/>
            <w:vAlign w:val="bottom"/>
            <w:hideMark/>
          </w:tcPr>
          <w:p w:rsidR="0038758B" w:rsidRPr="00224519" w:rsidRDefault="00644789" w:rsidP="00644789">
            <w:pPr>
              <w:ind w:left="760"/>
              <w:jc w:val="right"/>
              <w:rPr>
                <w:rFonts w:ascii="Verdana" w:hAnsi="Verdana" w:cs="Calibri"/>
                <w:color w:val="000000"/>
                <w:sz w:val="18"/>
                <w:szCs w:val="24"/>
                <w:lang w:eastAsia="en-GB"/>
              </w:rPr>
            </w:pPr>
            <w:r w:rsidRPr="00224519">
              <w:rPr>
                <w:rFonts w:ascii="Verdana" w:hAnsi="Verdana" w:cs="Calibri"/>
                <w:color w:val="000000"/>
                <w:sz w:val="18"/>
                <w:szCs w:val="24"/>
                <w:lang w:eastAsia="en-GB"/>
              </w:rPr>
              <w:t>3</w:t>
            </w:r>
          </w:p>
        </w:tc>
        <w:tc>
          <w:tcPr>
            <w:tcW w:w="1457" w:type="dxa"/>
            <w:tcBorders>
              <w:top w:val="nil"/>
              <w:left w:val="nil"/>
              <w:bottom w:val="nil"/>
              <w:right w:val="nil"/>
            </w:tcBorders>
            <w:shd w:val="clear" w:color="auto" w:fill="auto"/>
            <w:noWrap/>
            <w:vAlign w:val="bottom"/>
            <w:hideMark/>
          </w:tcPr>
          <w:p w:rsidR="0038758B" w:rsidRPr="00224519" w:rsidRDefault="00644789" w:rsidP="009E2067">
            <w:pPr>
              <w:jc w:val="right"/>
              <w:rPr>
                <w:rFonts w:ascii="Verdana" w:hAnsi="Verdana" w:cs="Calibri"/>
                <w:color w:val="000000"/>
                <w:sz w:val="18"/>
                <w:szCs w:val="24"/>
                <w:lang w:eastAsia="en-GB"/>
              </w:rPr>
            </w:pPr>
            <w:r w:rsidRPr="00224519">
              <w:rPr>
                <w:rFonts w:ascii="Verdana" w:hAnsi="Verdana" w:cs="Calibri"/>
                <w:color w:val="000000"/>
                <w:sz w:val="18"/>
                <w:szCs w:val="24"/>
                <w:lang w:eastAsia="en-GB"/>
              </w:rPr>
              <w:t>8</w:t>
            </w:r>
          </w:p>
        </w:tc>
        <w:tc>
          <w:tcPr>
            <w:tcW w:w="1102" w:type="dxa"/>
            <w:tcBorders>
              <w:top w:val="nil"/>
              <w:left w:val="nil"/>
              <w:bottom w:val="nil"/>
              <w:right w:val="nil"/>
            </w:tcBorders>
            <w:shd w:val="clear" w:color="auto" w:fill="auto"/>
            <w:noWrap/>
            <w:vAlign w:val="bottom"/>
            <w:hideMark/>
          </w:tcPr>
          <w:p w:rsidR="0038758B" w:rsidRPr="00224519" w:rsidRDefault="00644789" w:rsidP="009E2067">
            <w:pPr>
              <w:jc w:val="right"/>
              <w:rPr>
                <w:rFonts w:ascii="Verdana" w:hAnsi="Verdana" w:cs="Calibri"/>
                <w:color w:val="000000"/>
                <w:sz w:val="18"/>
                <w:szCs w:val="24"/>
                <w:lang w:eastAsia="en-GB"/>
              </w:rPr>
            </w:pPr>
            <w:r w:rsidRPr="00224519">
              <w:rPr>
                <w:rFonts w:ascii="Verdana" w:hAnsi="Verdana" w:cs="Calibri"/>
                <w:color w:val="000000"/>
                <w:sz w:val="18"/>
                <w:szCs w:val="24"/>
                <w:lang w:eastAsia="en-GB"/>
              </w:rPr>
              <w:t>5</w:t>
            </w:r>
          </w:p>
        </w:tc>
        <w:tc>
          <w:tcPr>
            <w:tcW w:w="550" w:type="dxa"/>
            <w:tcBorders>
              <w:top w:val="nil"/>
              <w:left w:val="nil"/>
              <w:bottom w:val="nil"/>
              <w:right w:val="nil"/>
            </w:tcBorders>
          </w:tcPr>
          <w:p w:rsidR="0038758B" w:rsidRPr="00224519" w:rsidRDefault="0038758B" w:rsidP="009E2067">
            <w:pPr>
              <w:jc w:val="right"/>
              <w:rPr>
                <w:rFonts w:ascii="Verdana" w:hAnsi="Verdana" w:cs="Calibri"/>
                <w:color w:val="000000"/>
                <w:sz w:val="18"/>
                <w:szCs w:val="24"/>
                <w:lang w:eastAsia="en-GB"/>
              </w:rPr>
            </w:pPr>
          </w:p>
        </w:tc>
        <w:tc>
          <w:tcPr>
            <w:tcW w:w="996" w:type="dxa"/>
            <w:tcBorders>
              <w:top w:val="nil"/>
              <w:left w:val="nil"/>
              <w:bottom w:val="nil"/>
              <w:right w:val="nil"/>
            </w:tcBorders>
            <w:shd w:val="clear" w:color="auto" w:fill="auto"/>
            <w:noWrap/>
            <w:vAlign w:val="bottom"/>
            <w:hideMark/>
          </w:tcPr>
          <w:p w:rsidR="0038758B" w:rsidRPr="00224519" w:rsidRDefault="00644789" w:rsidP="009E2067">
            <w:pPr>
              <w:jc w:val="right"/>
              <w:rPr>
                <w:rFonts w:ascii="Verdana" w:hAnsi="Verdana" w:cs="Calibri"/>
                <w:color w:val="000000"/>
                <w:sz w:val="18"/>
                <w:szCs w:val="24"/>
                <w:lang w:eastAsia="en-GB"/>
              </w:rPr>
            </w:pPr>
            <w:r w:rsidRPr="00224519">
              <w:rPr>
                <w:rFonts w:ascii="Verdana" w:hAnsi="Verdana" w:cs="Calibri"/>
                <w:color w:val="000000"/>
                <w:sz w:val="18"/>
                <w:szCs w:val="24"/>
                <w:lang w:eastAsia="en-GB"/>
              </w:rPr>
              <w:t>11</w:t>
            </w:r>
          </w:p>
        </w:tc>
        <w:tc>
          <w:tcPr>
            <w:tcW w:w="1102" w:type="dxa"/>
            <w:tcBorders>
              <w:top w:val="nil"/>
              <w:left w:val="nil"/>
              <w:bottom w:val="nil"/>
              <w:right w:val="nil"/>
            </w:tcBorders>
            <w:shd w:val="clear" w:color="auto" w:fill="auto"/>
            <w:noWrap/>
            <w:vAlign w:val="bottom"/>
            <w:hideMark/>
          </w:tcPr>
          <w:p w:rsidR="0038758B" w:rsidRPr="00224519" w:rsidRDefault="0038758B" w:rsidP="009E2067">
            <w:pPr>
              <w:jc w:val="right"/>
              <w:rPr>
                <w:rFonts w:ascii="Verdana" w:hAnsi="Verdana" w:cs="Calibri"/>
                <w:color w:val="000000"/>
                <w:sz w:val="18"/>
                <w:szCs w:val="24"/>
                <w:lang w:eastAsia="en-GB"/>
              </w:rPr>
            </w:pPr>
          </w:p>
        </w:tc>
        <w:tc>
          <w:tcPr>
            <w:tcW w:w="1196" w:type="dxa"/>
            <w:tcBorders>
              <w:top w:val="nil"/>
              <w:left w:val="nil"/>
              <w:bottom w:val="nil"/>
              <w:right w:val="nil"/>
            </w:tcBorders>
            <w:shd w:val="clear" w:color="auto" w:fill="auto"/>
            <w:noWrap/>
            <w:vAlign w:val="bottom"/>
            <w:hideMark/>
          </w:tcPr>
          <w:p w:rsidR="0038758B" w:rsidRPr="00224519" w:rsidRDefault="00644789" w:rsidP="009E2067">
            <w:pPr>
              <w:jc w:val="right"/>
              <w:rPr>
                <w:rFonts w:ascii="Verdana" w:hAnsi="Verdana" w:cs="Calibri"/>
                <w:color w:val="000000"/>
                <w:sz w:val="18"/>
                <w:szCs w:val="24"/>
                <w:lang w:eastAsia="en-GB"/>
              </w:rPr>
            </w:pPr>
            <w:r w:rsidRPr="00224519">
              <w:rPr>
                <w:rFonts w:ascii="Verdana" w:hAnsi="Verdana" w:cs="Calibri"/>
                <w:color w:val="000000"/>
                <w:sz w:val="18"/>
                <w:szCs w:val="24"/>
                <w:lang w:eastAsia="en-GB"/>
              </w:rPr>
              <w:t>27</w:t>
            </w:r>
          </w:p>
        </w:tc>
      </w:tr>
      <w:tr w:rsidR="0038758B" w:rsidRPr="00224519" w:rsidTr="009E2067">
        <w:trPr>
          <w:trHeight w:val="290"/>
        </w:trPr>
        <w:tc>
          <w:tcPr>
            <w:tcW w:w="1525" w:type="dxa"/>
            <w:tcBorders>
              <w:top w:val="single" w:sz="4" w:space="0" w:color="9BC2E6"/>
              <w:left w:val="nil"/>
              <w:bottom w:val="nil"/>
              <w:right w:val="nil"/>
            </w:tcBorders>
            <w:shd w:val="clear" w:color="DDEBF7" w:fill="DDEBF7"/>
            <w:noWrap/>
            <w:vAlign w:val="bottom"/>
            <w:hideMark/>
          </w:tcPr>
          <w:p w:rsidR="0038758B" w:rsidRPr="00224519" w:rsidRDefault="0038758B" w:rsidP="009E2067">
            <w:pPr>
              <w:rPr>
                <w:rFonts w:ascii="Verdana" w:hAnsi="Verdana" w:cs="Calibri"/>
                <w:b/>
                <w:bCs/>
                <w:color w:val="000000"/>
                <w:sz w:val="18"/>
                <w:szCs w:val="24"/>
                <w:lang w:eastAsia="en-GB"/>
              </w:rPr>
            </w:pPr>
            <w:r w:rsidRPr="00224519">
              <w:rPr>
                <w:rFonts w:ascii="Verdana" w:hAnsi="Verdana" w:cs="Calibri"/>
                <w:b/>
                <w:bCs/>
                <w:color w:val="000000"/>
                <w:sz w:val="18"/>
                <w:szCs w:val="24"/>
                <w:lang w:eastAsia="en-GB"/>
              </w:rPr>
              <w:t>Grand Total</w:t>
            </w:r>
          </w:p>
        </w:tc>
        <w:tc>
          <w:tcPr>
            <w:tcW w:w="1796" w:type="dxa"/>
            <w:tcBorders>
              <w:top w:val="single" w:sz="4" w:space="0" w:color="9BC2E6"/>
              <w:left w:val="nil"/>
              <w:bottom w:val="nil"/>
              <w:right w:val="nil"/>
            </w:tcBorders>
            <w:shd w:val="clear" w:color="DDEBF7" w:fill="DDEBF7"/>
            <w:noWrap/>
            <w:vAlign w:val="bottom"/>
            <w:hideMark/>
          </w:tcPr>
          <w:p w:rsidR="0038758B" w:rsidRPr="00224519" w:rsidRDefault="00C62F7A" w:rsidP="009E2067">
            <w:pPr>
              <w:jc w:val="right"/>
              <w:rPr>
                <w:rFonts w:ascii="Verdana" w:hAnsi="Verdana" w:cs="Calibri"/>
                <w:b/>
                <w:bCs/>
                <w:color w:val="000000"/>
                <w:sz w:val="18"/>
                <w:szCs w:val="24"/>
                <w:lang w:eastAsia="en-GB"/>
              </w:rPr>
            </w:pPr>
            <w:r w:rsidRPr="00224519">
              <w:rPr>
                <w:rFonts w:ascii="Verdana" w:hAnsi="Verdana" w:cs="Calibri"/>
                <w:b/>
                <w:bCs/>
                <w:color w:val="000000"/>
                <w:sz w:val="18"/>
                <w:szCs w:val="24"/>
                <w:lang w:eastAsia="en-GB"/>
              </w:rPr>
              <w:t>10</w:t>
            </w:r>
          </w:p>
        </w:tc>
        <w:tc>
          <w:tcPr>
            <w:tcW w:w="1457" w:type="dxa"/>
            <w:tcBorders>
              <w:top w:val="single" w:sz="4" w:space="0" w:color="9BC2E6"/>
              <w:left w:val="nil"/>
              <w:bottom w:val="nil"/>
              <w:right w:val="nil"/>
            </w:tcBorders>
            <w:shd w:val="clear" w:color="DDEBF7" w:fill="DDEBF7"/>
            <w:noWrap/>
            <w:vAlign w:val="bottom"/>
            <w:hideMark/>
          </w:tcPr>
          <w:p w:rsidR="0038758B" w:rsidRPr="00224519" w:rsidRDefault="00C62F7A" w:rsidP="009E2067">
            <w:pPr>
              <w:jc w:val="right"/>
              <w:rPr>
                <w:rFonts w:ascii="Verdana" w:hAnsi="Verdana" w:cs="Calibri"/>
                <w:b/>
                <w:bCs/>
                <w:color w:val="000000"/>
                <w:sz w:val="18"/>
                <w:szCs w:val="24"/>
                <w:lang w:eastAsia="en-GB"/>
              </w:rPr>
            </w:pPr>
            <w:r w:rsidRPr="00224519">
              <w:rPr>
                <w:rFonts w:ascii="Verdana" w:hAnsi="Verdana" w:cs="Calibri"/>
                <w:b/>
                <w:bCs/>
                <w:color w:val="000000"/>
                <w:sz w:val="18"/>
                <w:szCs w:val="24"/>
                <w:lang w:eastAsia="en-GB"/>
              </w:rPr>
              <w:t>8</w:t>
            </w:r>
          </w:p>
        </w:tc>
        <w:tc>
          <w:tcPr>
            <w:tcW w:w="1102" w:type="dxa"/>
            <w:tcBorders>
              <w:top w:val="single" w:sz="4" w:space="0" w:color="9BC2E6"/>
              <w:left w:val="nil"/>
              <w:bottom w:val="nil"/>
              <w:right w:val="nil"/>
            </w:tcBorders>
            <w:shd w:val="clear" w:color="DDEBF7" w:fill="DDEBF7"/>
            <w:noWrap/>
            <w:vAlign w:val="bottom"/>
            <w:hideMark/>
          </w:tcPr>
          <w:p w:rsidR="0038758B" w:rsidRPr="00224519" w:rsidRDefault="00C62F7A" w:rsidP="009E2067">
            <w:pPr>
              <w:jc w:val="right"/>
              <w:rPr>
                <w:rFonts w:ascii="Verdana" w:hAnsi="Verdana" w:cs="Calibri"/>
                <w:b/>
                <w:bCs/>
                <w:color w:val="000000"/>
                <w:sz w:val="18"/>
                <w:szCs w:val="24"/>
                <w:lang w:eastAsia="en-GB"/>
              </w:rPr>
            </w:pPr>
            <w:r w:rsidRPr="00224519">
              <w:rPr>
                <w:rFonts w:ascii="Verdana" w:hAnsi="Verdana" w:cs="Calibri"/>
                <w:b/>
                <w:bCs/>
                <w:color w:val="000000"/>
                <w:sz w:val="18"/>
                <w:szCs w:val="24"/>
                <w:lang w:eastAsia="en-GB"/>
              </w:rPr>
              <w:t>5</w:t>
            </w:r>
          </w:p>
        </w:tc>
        <w:tc>
          <w:tcPr>
            <w:tcW w:w="550" w:type="dxa"/>
            <w:tcBorders>
              <w:top w:val="single" w:sz="4" w:space="0" w:color="9BC2E6"/>
              <w:left w:val="nil"/>
              <w:bottom w:val="nil"/>
              <w:right w:val="nil"/>
            </w:tcBorders>
            <w:shd w:val="clear" w:color="DDEBF7" w:fill="DDEBF7"/>
          </w:tcPr>
          <w:p w:rsidR="0038758B" w:rsidRPr="00224519" w:rsidRDefault="0038758B" w:rsidP="009E2067">
            <w:pPr>
              <w:jc w:val="right"/>
              <w:rPr>
                <w:rFonts w:ascii="Verdana" w:hAnsi="Verdana" w:cs="Calibri"/>
                <w:b/>
                <w:bCs/>
                <w:color w:val="000000"/>
                <w:sz w:val="18"/>
                <w:szCs w:val="24"/>
                <w:lang w:eastAsia="en-GB"/>
              </w:rPr>
            </w:pPr>
          </w:p>
        </w:tc>
        <w:tc>
          <w:tcPr>
            <w:tcW w:w="996" w:type="dxa"/>
            <w:tcBorders>
              <w:top w:val="single" w:sz="4" w:space="0" w:color="9BC2E6"/>
              <w:left w:val="nil"/>
              <w:bottom w:val="nil"/>
              <w:right w:val="nil"/>
            </w:tcBorders>
            <w:shd w:val="clear" w:color="DDEBF7" w:fill="DDEBF7"/>
            <w:noWrap/>
            <w:vAlign w:val="bottom"/>
            <w:hideMark/>
          </w:tcPr>
          <w:p w:rsidR="0038758B" w:rsidRPr="00224519" w:rsidRDefault="00C62F7A" w:rsidP="009E2067">
            <w:pPr>
              <w:jc w:val="right"/>
              <w:rPr>
                <w:rFonts w:ascii="Verdana" w:hAnsi="Verdana" w:cs="Calibri"/>
                <w:b/>
                <w:bCs/>
                <w:color w:val="000000"/>
                <w:sz w:val="18"/>
                <w:szCs w:val="24"/>
                <w:lang w:eastAsia="en-GB"/>
              </w:rPr>
            </w:pPr>
            <w:r w:rsidRPr="00224519">
              <w:rPr>
                <w:rFonts w:ascii="Verdana" w:hAnsi="Verdana" w:cs="Calibri"/>
                <w:b/>
                <w:bCs/>
                <w:color w:val="000000"/>
                <w:sz w:val="18"/>
                <w:szCs w:val="24"/>
                <w:lang w:eastAsia="en-GB"/>
              </w:rPr>
              <w:t>16</w:t>
            </w:r>
          </w:p>
        </w:tc>
        <w:tc>
          <w:tcPr>
            <w:tcW w:w="1102" w:type="dxa"/>
            <w:tcBorders>
              <w:top w:val="single" w:sz="4" w:space="0" w:color="9BC2E6"/>
              <w:left w:val="nil"/>
              <w:bottom w:val="nil"/>
              <w:right w:val="nil"/>
            </w:tcBorders>
            <w:shd w:val="clear" w:color="DDEBF7" w:fill="DDEBF7"/>
            <w:noWrap/>
            <w:vAlign w:val="bottom"/>
            <w:hideMark/>
          </w:tcPr>
          <w:p w:rsidR="0038758B" w:rsidRPr="00224519" w:rsidRDefault="0038758B" w:rsidP="009E2067">
            <w:pPr>
              <w:jc w:val="right"/>
              <w:rPr>
                <w:rFonts w:ascii="Verdana" w:hAnsi="Verdana" w:cs="Calibri"/>
                <w:b/>
                <w:bCs/>
                <w:color w:val="000000"/>
                <w:sz w:val="18"/>
                <w:szCs w:val="24"/>
                <w:lang w:eastAsia="en-GB"/>
              </w:rPr>
            </w:pPr>
          </w:p>
        </w:tc>
        <w:tc>
          <w:tcPr>
            <w:tcW w:w="1196" w:type="dxa"/>
            <w:tcBorders>
              <w:top w:val="single" w:sz="4" w:space="0" w:color="9BC2E6"/>
              <w:left w:val="nil"/>
              <w:bottom w:val="nil"/>
              <w:right w:val="nil"/>
            </w:tcBorders>
            <w:shd w:val="clear" w:color="DDEBF7" w:fill="DDEBF7"/>
            <w:noWrap/>
            <w:vAlign w:val="bottom"/>
            <w:hideMark/>
          </w:tcPr>
          <w:p w:rsidR="0038758B" w:rsidRPr="00224519" w:rsidRDefault="00C62F7A" w:rsidP="009E2067">
            <w:pPr>
              <w:jc w:val="right"/>
              <w:rPr>
                <w:rFonts w:ascii="Verdana" w:hAnsi="Verdana" w:cs="Calibri"/>
                <w:b/>
                <w:bCs/>
                <w:color w:val="000000"/>
                <w:sz w:val="18"/>
                <w:szCs w:val="24"/>
                <w:lang w:eastAsia="en-GB"/>
              </w:rPr>
            </w:pPr>
            <w:r w:rsidRPr="00224519">
              <w:rPr>
                <w:rFonts w:ascii="Verdana" w:hAnsi="Verdana" w:cs="Calibri"/>
                <w:b/>
                <w:bCs/>
                <w:color w:val="000000"/>
                <w:sz w:val="18"/>
                <w:szCs w:val="24"/>
                <w:lang w:eastAsia="en-GB"/>
              </w:rPr>
              <w:t>39</w:t>
            </w:r>
          </w:p>
        </w:tc>
      </w:tr>
    </w:tbl>
    <w:p w:rsidR="0038758B" w:rsidRPr="00224519" w:rsidRDefault="0038758B" w:rsidP="0038758B">
      <w:pPr>
        <w:jc w:val="both"/>
        <w:rPr>
          <w:rFonts w:ascii="Verdana" w:hAnsi="Verdana" w:cs="Arial"/>
          <w:sz w:val="24"/>
          <w:szCs w:val="24"/>
        </w:rPr>
      </w:pPr>
    </w:p>
    <w:p w:rsidR="00644789" w:rsidRPr="00224519" w:rsidRDefault="00644789" w:rsidP="00644789">
      <w:pPr>
        <w:ind w:left="567" w:hanging="567"/>
        <w:jc w:val="both"/>
        <w:rPr>
          <w:rFonts w:ascii="Verdana" w:hAnsi="Verdana" w:cs="Arial"/>
          <w:sz w:val="24"/>
          <w:szCs w:val="24"/>
        </w:rPr>
      </w:pPr>
      <w:r w:rsidRPr="00224519">
        <w:rPr>
          <w:rFonts w:ascii="Verdana" w:hAnsi="Verdana" w:cs="Arial"/>
          <w:sz w:val="24"/>
          <w:szCs w:val="24"/>
        </w:rPr>
        <w:t xml:space="preserve">Note: </w:t>
      </w:r>
      <w:r w:rsidRPr="00224519">
        <w:rPr>
          <w:rFonts w:ascii="Verdana" w:hAnsi="Verdana" w:cs="Arial"/>
          <w:sz w:val="24"/>
          <w:szCs w:val="24"/>
        </w:rPr>
        <w:tab/>
        <w:t>the difference in the two sets of numbers is accounted for by different ways of looking at the intentions, for example, the clinical indicators are one intention in the NCCU set (an aggregate measure), but seven in the WAST version, with each indicator being identified.</w:t>
      </w:r>
    </w:p>
    <w:p w:rsidR="00644789" w:rsidRPr="00224519" w:rsidRDefault="00644789" w:rsidP="0038758B">
      <w:pPr>
        <w:jc w:val="both"/>
        <w:rPr>
          <w:rFonts w:ascii="Verdana" w:hAnsi="Verdana" w:cs="Arial"/>
          <w:sz w:val="24"/>
          <w:szCs w:val="24"/>
        </w:rPr>
      </w:pPr>
    </w:p>
    <w:p w:rsidR="0043359F" w:rsidRPr="00224519" w:rsidRDefault="00644789" w:rsidP="00D45388">
      <w:pPr>
        <w:pStyle w:val="ListParagraph"/>
        <w:numPr>
          <w:ilvl w:val="0"/>
          <w:numId w:val="1"/>
        </w:numPr>
        <w:ind w:left="426" w:hanging="426"/>
        <w:jc w:val="both"/>
        <w:rPr>
          <w:rFonts w:ascii="Verdana" w:hAnsi="Verdana" w:cs="Arial"/>
          <w:bCs/>
          <w:color w:val="000000"/>
          <w:sz w:val="24"/>
          <w:szCs w:val="24"/>
          <w:lang w:eastAsia="en-GB"/>
        </w:rPr>
      </w:pPr>
      <w:r w:rsidRPr="00224519">
        <w:rPr>
          <w:rFonts w:ascii="Verdana" w:hAnsi="Verdana" w:cs="Arial"/>
          <w:bCs/>
          <w:color w:val="000000"/>
          <w:sz w:val="24"/>
          <w:szCs w:val="24"/>
          <w:lang w:eastAsia="en-GB"/>
        </w:rPr>
        <w:t>The NCCU and WAST will</w:t>
      </w:r>
      <w:r w:rsidR="0038758B" w:rsidRPr="00224519">
        <w:rPr>
          <w:rFonts w:ascii="Verdana" w:hAnsi="Verdana" w:cs="Arial"/>
          <w:bCs/>
          <w:color w:val="000000"/>
          <w:sz w:val="24"/>
          <w:szCs w:val="24"/>
          <w:lang w:eastAsia="en-GB"/>
        </w:rPr>
        <w:t xml:space="preserve"> review the detail of these respective assessments (WAST’s detailed responses are contained in the Appendices</w:t>
      </w:r>
      <w:r w:rsidRPr="00224519">
        <w:rPr>
          <w:rFonts w:ascii="Verdana" w:hAnsi="Verdana" w:cs="Arial"/>
          <w:bCs/>
          <w:color w:val="000000"/>
          <w:sz w:val="24"/>
          <w:szCs w:val="24"/>
          <w:lang w:eastAsia="en-GB"/>
        </w:rPr>
        <w:t xml:space="preserve">, which also includes a further set of intentions referred to </w:t>
      </w:r>
      <w:r w:rsidRPr="00224519">
        <w:rPr>
          <w:rFonts w:ascii="Verdana" w:hAnsi="Verdana" w:cs="Arial"/>
          <w:bCs/>
          <w:color w:val="000000"/>
          <w:sz w:val="24"/>
          <w:szCs w:val="24"/>
          <w:lang w:eastAsia="en-GB"/>
        </w:rPr>
        <w:lastRenderedPageBreak/>
        <w:t>as Table 2 intentions</w:t>
      </w:r>
      <w:r w:rsidR="0038758B" w:rsidRPr="00224519">
        <w:rPr>
          <w:rFonts w:ascii="Verdana" w:hAnsi="Verdana" w:cs="Arial"/>
          <w:bCs/>
          <w:color w:val="000000"/>
          <w:sz w:val="24"/>
          <w:szCs w:val="24"/>
          <w:lang w:eastAsia="en-GB"/>
        </w:rPr>
        <w:t>)</w:t>
      </w:r>
      <w:r w:rsidR="00C419B3" w:rsidRPr="00224519">
        <w:rPr>
          <w:rFonts w:ascii="Verdana" w:hAnsi="Verdana" w:cs="Arial"/>
          <w:bCs/>
          <w:color w:val="000000"/>
          <w:sz w:val="24"/>
          <w:szCs w:val="24"/>
          <w:lang w:eastAsia="en-GB"/>
        </w:rPr>
        <w:t xml:space="preserve"> outside of EASC</w:t>
      </w:r>
      <w:r w:rsidR="0038758B" w:rsidRPr="00224519">
        <w:rPr>
          <w:rFonts w:ascii="Verdana" w:hAnsi="Verdana" w:cs="Arial"/>
          <w:bCs/>
          <w:color w:val="000000"/>
          <w:sz w:val="24"/>
          <w:szCs w:val="24"/>
          <w:lang w:eastAsia="en-GB"/>
        </w:rPr>
        <w:t xml:space="preserve">.  The NCCU highlighted the following key </w:t>
      </w:r>
      <w:r w:rsidR="00AE04E4" w:rsidRPr="00224519">
        <w:rPr>
          <w:rFonts w:ascii="Verdana" w:hAnsi="Verdana" w:cs="Arial"/>
          <w:bCs/>
          <w:color w:val="000000"/>
          <w:sz w:val="24"/>
          <w:szCs w:val="24"/>
          <w:lang w:eastAsia="en-GB"/>
        </w:rPr>
        <w:t xml:space="preserve">commissioned performance improvements </w:t>
      </w:r>
      <w:r w:rsidR="0038758B" w:rsidRPr="00224519">
        <w:rPr>
          <w:rFonts w:ascii="Verdana" w:hAnsi="Verdana" w:cs="Arial"/>
          <w:bCs/>
          <w:color w:val="000000"/>
          <w:sz w:val="24"/>
          <w:szCs w:val="24"/>
          <w:lang w:eastAsia="en-GB"/>
        </w:rPr>
        <w:t>areas as having deteriorated:-</w:t>
      </w:r>
    </w:p>
    <w:p w:rsidR="0038758B" w:rsidRPr="00224519" w:rsidRDefault="0038758B" w:rsidP="0038758B">
      <w:pPr>
        <w:jc w:val="both"/>
        <w:rPr>
          <w:rFonts w:ascii="Verdana" w:hAnsi="Verdana" w:cs="Arial"/>
          <w:bCs/>
          <w:color w:val="000000"/>
          <w:sz w:val="24"/>
          <w:szCs w:val="24"/>
          <w:lang w:eastAsia="en-GB"/>
        </w:rPr>
      </w:pPr>
    </w:p>
    <w:p w:rsidR="0038758B" w:rsidRPr="00224519" w:rsidRDefault="0038758B" w:rsidP="0038758B">
      <w:pPr>
        <w:pStyle w:val="ListParagraph"/>
        <w:numPr>
          <w:ilvl w:val="0"/>
          <w:numId w:val="23"/>
        </w:numPr>
        <w:contextualSpacing w:val="0"/>
        <w:rPr>
          <w:rFonts w:ascii="Verdana" w:hAnsi="Verdana"/>
          <w:sz w:val="24"/>
          <w:szCs w:val="24"/>
        </w:rPr>
      </w:pPr>
      <w:r w:rsidRPr="00224519">
        <w:rPr>
          <w:rFonts w:ascii="Verdana" w:hAnsi="Verdana" w:cs="Arial"/>
          <w:color w:val="000000"/>
          <w:sz w:val="24"/>
          <w:szCs w:val="24"/>
        </w:rPr>
        <w:t>Red performance to be maintained and the 95th percentile to reduce</w:t>
      </w:r>
      <w:r w:rsidR="00FC23A6" w:rsidRPr="00224519">
        <w:rPr>
          <w:rFonts w:ascii="Verdana" w:hAnsi="Verdana" w:cs="Arial"/>
          <w:color w:val="000000"/>
          <w:sz w:val="24"/>
          <w:szCs w:val="24"/>
        </w:rPr>
        <w:t>;</w:t>
      </w:r>
    </w:p>
    <w:p w:rsidR="0038758B" w:rsidRPr="00224519" w:rsidRDefault="0038758B" w:rsidP="0038758B">
      <w:pPr>
        <w:pStyle w:val="ListParagraph"/>
        <w:numPr>
          <w:ilvl w:val="0"/>
          <w:numId w:val="23"/>
        </w:numPr>
        <w:contextualSpacing w:val="0"/>
        <w:rPr>
          <w:rFonts w:ascii="Verdana" w:hAnsi="Verdana"/>
          <w:i/>
          <w:sz w:val="24"/>
          <w:szCs w:val="24"/>
        </w:rPr>
      </w:pPr>
      <w:r w:rsidRPr="00224519">
        <w:rPr>
          <w:rFonts w:ascii="Verdana" w:hAnsi="Verdana" w:cs="Arial"/>
          <w:color w:val="000000"/>
          <w:sz w:val="24"/>
          <w:szCs w:val="24"/>
        </w:rPr>
        <w:t xml:space="preserve">Amber 95th percentile times to reduce across each health board </w:t>
      </w:r>
      <w:r w:rsidRPr="00224519">
        <w:rPr>
          <w:rFonts w:ascii="Verdana" w:hAnsi="Verdana" w:cs="Arial"/>
          <w:i/>
          <w:color w:val="000000"/>
          <w:sz w:val="24"/>
          <w:szCs w:val="24"/>
        </w:rPr>
        <w:t>[Carried Forward from 2018/19]</w:t>
      </w:r>
      <w:r w:rsidR="00FC23A6" w:rsidRPr="00224519">
        <w:rPr>
          <w:rFonts w:ascii="Verdana" w:hAnsi="Verdana" w:cs="Arial"/>
          <w:i/>
          <w:color w:val="000000"/>
          <w:sz w:val="24"/>
          <w:szCs w:val="24"/>
        </w:rPr>
        <w:t>;</w:t>
      </w:r>
    </w:p>
    <w:p w:rsidR="0038758B" w:rsidRPr="00224519" w:rsidRDefault="0038758B" w:rsidP="0038758B">
      <w:pPr>
        <w:pStyle w:val="ListParagraph"/>
        <w:numPr>
          <w:ilvl w:val="0"/>
          <w:numId w:val="23"/>
        </w:numPr>
        <w:contextualSpacing w:val="0"/>
        <w:rPr>
          <w:rFonts w:ascii="Verdana" w:hAnsi="Verdana"/>
          <w:sz w:val="24"/>
          <w:szCs w:val="24"/>
        </w:rPr>
      </w:pPr>
      <w:r w:rsidRPr="00224519">
        <w:rPr>
          <w:rFonts w:ascii="Verdana" w:hAnsi="Verdana" w:cs="Arial"/>
          <w:color w:val="000000"/>
          <w:sz w:val="24"/>
          <w:szCs w:val="24"/>
        </w:rPr>
        <w:t xml:space="preserve">Resource utilisation will improve: </w:t>
      </w:r>
      <w:r w:rsidRPr="00224519">
        <w:rPr>
          <w:rFonts w:ascii="Verdana" w:hAnsi="Verdana" w:cs="Arial"/>
          <w:i/>
          <w:color w:val="000000"/>
          <w:sz w:val="24"/>
          <w:szCs w:val="24"/>
        </w:rPr>
        <w:t>[Carried Forward from 2018/19]</w:t>
      </w:r>
      <w:r w:rsidRPr="00224519">
        <w:rPr>
          <w:rFonts w:ascii="Verdana" w:hAnsi="Verdana" w:cs="Arial"/>
          <w:color w:val="000000"/>
          <w:sz w:val="24"/>
          <w:szCs w:val="24"/>
        </w:rPr>
        <w:t>:</w:t>
      </w:r>
    </w:p>
    <w:p w:rsidR="0038758B" w:rsidRPr="00224519" w:rsidRDefault="0038758B" w:rsidP="0038758B">
      <w:pPr>
        <w:pStyle w:val="ListParagraph"/>
        <w:numPr>
          <w:ilvl w:val="0"/>
          <w:numId w:val="24"/>
        </w:numPr>
        <w:contextualSpacing w:val="0"/>
        <w:rPr>
          <w:rFonts w:ascii="Verdana" w:hAnsi="Verdana"/>
          <w:sz w:val="24"/>
          <w:szCs w:val="24"/>
        </w:rPr>
      </w:pPr>
      <w:r w:rsidRPr="00224519">
        <w:rPr>
          <w:rFonts w:ascii="Verdana" w:hAnsi="Verdana" w:cs="Arial"/>
          <w:color w:val="000000"/>
          <w:sz w:val="24"/>
          <w:szCs w:val="24"/>
        </w:rPr>
        <w:t>sickness rates reduced for all direct staff across each of the steps</w:t>
      </w:r>
      <w:r w:rsidR="00FC23A6" w:rsidRPr="00224519">
        <w:rPr>
          <w:rFonts w:ascii="Verdana" w:hAnsi="Verdana" w:cs="Arial"/>
          <w:color w:val="000000"/>
          <w:sz w:val="24"/>
          <w:szCs w:val="24"/>
        </w:rPr>
        <w:t>;</w:t>
      </w:r>
      <w:r w:rsidRPr="00224519">
        <w:rPr>
          <w:rFonts w:ascii="Verdana" w:hAnsi="Verdana" w:cs="Arial"/>
          <w:color w:val="000000"/>
          <w:sz w:val="24"/>
          <w:szCs w:val="24"/>
        </w:rPr>
        <w:t xml:space="preserve"> </w:t>
      </w:r>
    </w:p>
    <w:p w:rsidR="0038758B" w:rsidRPr="00224519" w:rsidRDefault="0038758B" w:rsidP="0038758B">
      <w:pPr>
        <w:pStyle w:val="ListParagraph"/>
        <w:numPr>
          <w:ilvl w:val="0"/>
          <w:numId w:val="24"/>
        </w:numPr>
        <w:contextualSpacing w:val="0"/>
        <w:rPr>
          <w:rFonts w:ascii="Verdana" w:hAnsi="Verdana"/>
          <w:sz w:val="24"/>
          <w:szCs w:val="24"/>
        </w:rPr>
      </w:pPr>
      <w:r w:rsidRPr="00224519">
        <w:rPr>
          <w:rFonts w:ascii="Verdana" w:hAnsi="Verdana" w:cs="Arial"/>
          <w:color w:val="000000"/>
          <w:sz w:val="24"/>
          <w:szCs w:val="24"/>
        </w:rPr>
        <w:t>use of external providers to be reduced</w:t>
      </w:r>
      <w:r w:rsidR="00FC23A6" w:rsidRPr="00224519">
        <w:rPr>
          <w:rFonts w:ascii="Verdana" w:hAnsi="Verdana" w:cs="Arial"/>
          <w:color w:val="000000"/>
          <w:sz w:val="24"/>
          <w:szCs w:val="24"/>
        </w:rPr>
        <w:t>;</w:t>
      </w:r>
    </w:p>
    <w:p w:rsidR="0038758B" w:rsidRPr="00224519" w:rsidRDefault="0038758B" w:rsidP="0038758B">
      <w:pPr>
        <w:pStyle w:val="ListParagraph"/>
        <w:numPr>
          <w:ilvl w:val="0"/>
          <w:numId w:val="24"/>
        </w:numPr>
        <w:contextualSpacing w:val="0"/>
        <w:rPr>
          <w:rFonts w:ascii="Verdana" w:hAnsi="Verdana"/>
          <w:sz w:val="24"/>
          <w:szCs w:val="24"/>
        </w:rPr>
      </w:pPr>
      <w:r w:rsidRPr="00224519">
        <w:rPr>
          <w:rFonts w:ascii="Verdana" w:hAnsi="Verdana" w:cs="Arial"/>
          <w:color w:val="000000"/>
          <w:sz w:val="24"/>
          <w:szCs w:val="24"/>
        </w:rPr>
        <w:t>rosters aligned to demand (across days and time of day) for direct staff across each step</w:t>
      </w:r>
      <w:r w:rsidR="00FC23A6" w:rsidRPr="00224519">
        <w:rPr>
          <w:rFonts w:ascii="Verdana" w:hAnsi="Verdana" w:cs="Arial"/>
          <w:color w:val="000000"/>
          <w:sz w:val="24"/>
          <w:szCs w:val="24"/>
        </w:rPr>
        <w:t>; and</w:t>
      </w:r>
      <w:r w:rsidRPr="00224519">
        <w:rPr>
          <w:rFonts w:ascii="Verdana" w:hAnsi="Verdana" w:cs="Arial"/>
          <w:color w:val="000000"/>
          <w:sz w:val="24"/>
          <w:szCs w:val="24"/>
        </w:rPr>
        <w:t xml:space="preserve"> </w:t>
      </w:r>
    </w:p>
    <w:p w:rsidR="0038758B" w:rsidRPr="00224519" w:rsidRDefault="0038758B" w:rsidP="0038758B">
      <w:pPr>
        <w:pStyle w:val="ListParagraph"/>
        <w:numPr>
          <w:ilvl w:val="0"/>
          <w:numId w:val="24"/>
        </w:numPr>
        <w:contextualSpacing w:val="0"/>
        <w:rPr>
          <w:rFonts w:ascii="Verdana" w:hAnsi="Verdana"/>
          <w:sz w:val="24"/>
          <w:szCs w:val="24"/>
        </w:rPr>
      </w:pPr>
      <w:r w:rsidRPr="00224519">
        <w:rPr>
          <w:rFonts w:ascii="Verdana" w:hAnsi="Verdana" w:cs="Arial"/>
          <w:color w:val="000000"/>
          <w:sz w:val="24"/>
          <w:szCs w:val="24"/>
        </w:rPr>
        <w:t>compliance with planned (that is the new) rosters to increase</w:t>
      </w:r>
      <w:r w:rsidR="00FC23A6" w:rsidRPr="00224519">
        <w:rPr>
          <w:rFonts w:ascii="Verdana" w:hAnsi="Verdana" w:cs="Arial"/>
          <w:color w:val="000000"/>
          <w:sz w:val="24"/>
          <w:szCs w:val="24"/>
        </w:rPr>
        <w:t>.</w:t>
      </w:r>
      <w:r w:rsidRPr="00224519">
        <w:rPr>
          <w:rFonts w:ascii="Verdana" w:hAnsi="Verdana" w:cs="Arial"/>
          <w:color w:val="000000"/>
          <w:sz w:val="24"/>
          <w:szCs w:val="24"/>
        </w:rPr>
        <w:t xml:space="preserve"> </w:t>
      </w:r>
    </w:p>
    <w:p w:rsidR="0038758B" w:rsidRPr="00224519" w:rsidRDefault="0038758B" w:rsidP="0038758B">
      <w:pPr>
        <w:pStyle w:val="ListParagraph"/>
        <w:numPr>
          <w:ilvl w:val="0"/>
          <w:numId w:val="23"/>
        </w:numPr>
        <w:contextualSpacing w:val="0"/>
        <w:rPr>
          <w:rFonts w:ascii="Verdana" w:hAnsi="Verdana"/>
          <w:sz w:val="24"/>
          <w:szCs w:val="24"/>
        </w:rPr>
      </w:pPr>
      <w:r w:rsidRPr="00224519">
        <w:rPr>
          <w:rFonts w:ascii="Verdana" w:hAnsi="Verdana" w:cs="Arial"/>
          <w:color w:val="000000"/>
          <w:sz w:val="24"/>
          <w:szCs w:val="24"/>
        </w:rPr>
        <w:t>Known ‘Net Effect’ in terms of activity impact, resource impact and performance impact from all initiatives</w:t>
      </w:r>
      <w:r w:rsidR="00FC23A6" w:rsidRPr="00224519">
        <w:rPr>
          <w:rFonts w:ascii="Verdana" w:hAnsi="Verdana" w:cs="Arial"/>
          <w:color w:val="000000"/>
          <w:sz w:val="24"/>
          <w:szCs w:val="24"/>
        </w:rPr>
        <w:t>.</w:t>
      </w:r>
    </w:p>
    <w:p w:rsidR="0038758B" w:rsidRPr="00224519" w:rsidRDefault="0038758B" w:rsidP="0038758B">
      <w:pPr>
        <w:jc w:val="both"/>
        <w:rPr>
          <w:rFonts w:ascii="Verdana" w:hAnsi="Verdana" w:cs="Arial"/>
          <w:bCs/>
          <w:color w:val="000000"/>
          <w:sz w:val="24"/>
          <w:szCs w:val="24"/>
          <w:lang w:eastAsia="en-GB"/>
        </w:rPr>
      </w:pPr>
    </w:p>
    <w:p w:rsidR="00072CA6" w:rsidRPr="00224519" w:rsidRDefault="00072CA6" w:rsidP="00D45388">
      <w:pPr>
        <w:pStyle w:val="ListParagraph"/>
        <w:numPr>
          <w:ilvl w:val="0"/>
          <w:numId w:val="1"/>
        </w:numPr>
        <w:ind w:left="426" w:hanging="426"/>
        <w:jc w:val="both"/>
        <w:rPr>
          <w:rFonts w:ascii="Verdana" w:hAnsi="Verdana" w:cs="Arial"/>
          <w:bCs/>
          <w:color w:val="000000"/>
          <w:sz w:val="24"/>
          <w:szCs w:val="24"/>
          <w:lang w:eastAsia="en-GB"/>
        </w:rPr>
      </w:pPr>
      <w:r w:rsidRPr="00224519">
        <w:rPr>
          <w:rFonts w:ascii="Verdana" w:hAnsi="Verdana" w:cs="Arial"/>
          <w:bCs/>
          <w:color w:val="000000"/>
          <w:sz w:val="24"/>
          <w:szCs w:val="24"/>
          <w:lang w:eastAsia="en-GB"/>
        </w:rPr>
        <w:t>We have set out below some of the context relevant to each of these commissioning intentions.</w:t>
      </w:r>
    </w:p>
    <w:p w:rsidR="006466AF" w:rsidRPr="00224519" w:rsidRDefault="0038758B" w:rsidP="00D45388">
      <w:pPr>
        <w:pStyle w:val="ListParagraph"/>
        <w:numPr>
          <w:ilvl w:val="0"/>
          <w:numId w:val="1"/>
        </w:numPr>
        <w:ind w:left="426" w:hanging="426"/>
        <w:jc w:val="both"/>
        <w:rPr>
          <w:rFonts w:ascii="Verdana" w:hAnsi="Verdana" w:cs="Arial"/>
          <w:bCs/>
          <w:color w:val="000000"/>
          <w:sz w:val="24"/>
          <w:szCs w:val="24"/>
          <w:lang w:eastAsia="en-GB"/>
        </w:rPr>
      </w:pPr>
      <w:r w:rsidRPr="00224519">
        <w:rPr>
          <w:rFonts w:ascii="Verdana" w:hAnsi="Verdana" w:cs="Arial"/>
          <w:bCs/>
          <w:color w:val="000000"/>
          <w:sz w:val="24"/>
          <w:szCs w:val="24"/>
          <w:lang w:eastAsia="en-GB"/>
        </w:rPr>
        <w:t xml:space="preserve">The separate WAST Provider Report (see separate agenda item) has identified (as have previous reports) a significant increase in Red demand caused by a patient safety procedure change in the </w:t>
      </w:r>
      <w:r w:rsidR="00072CA6" w:rsidRPr="00224519">
        <w:rPr>
          <w:rFonts w:ascii="Verdana" w:hAnsi="Verdana" w:cs="Arial"/>
          <w:bCs/>
          <w:color w:val="000000"/>
          <w:sz w:val="24"/>
          <w:szCs w:val="24"/>
          <w:lang w:eastAsia="en-GB"/>
        </w:rPr>
        <w:t xml:space="preserve">application of </w:t>
      </w:r>
      <w:r w:rsidR="00B678C2" w:rsidRPr="00224519">
        <w:rPr>
          <w:rFonts w:ascii="Verdana" w:hAnsi="Verdana" w:cs="Arial"/>
          <w:bCs/>
          <w:color w:val="000000"/>
          <w:sz w:val="24"/>
          <w:szCs w:val="24"/>
          <w:lang w:eastAsia="en-GB"/>
        </w:rPr>
        <w:t>Medical Prioritisation Dispatch System (</w:t>
      </w:r>
      <w:r w:rsidR="00072CA6" w:rsidRPr="00224519">
        <w:rPr>
          <w:rFonts w:ascii="Verdana" w:hAnsi="Verdana" w:cs="Arial"/>
          <w:bCs/>
          <w:color w:val="000000"/>
          <w:sz w:val="24"/>
          <w:szCs w:val="24"/>
          <w:lang w:eastAsia="en-GB"/>
        </w:rPr>
        <w:t>MPDS</w:t>
      </w:r>
      <w:r w:rsidR="00B678C2" w:rsidRPr="00224519">
        <w:rPr>
          <w:rFonts w:ascii="Verdana" w:hAnsi="Verdana" w:cs="Arial"/>
          <w:bCs/>
          <w:color w:val="000000"/>
          <w:sz w:val="24"/>
          <w:szCs w:val="24"/>
          <w:lang w:eastAsia="en-GB"/>
        </w:rPr>
        <w:t>)</w:t>
      </w:r>
      <w:r w:rsidR="00072CA6" w:rsidRPr="00224519">
        <w:rPr>
          <w:rFonts w:ascii="Verdana" w:hAnsi="Verdana" w:cs="Arial"/>
          <w:bCs/>
          <w:color w:val="000000"/>
          <w:sz w:val="24"/>
          <w:szCs w:val="24"/>
          <w:lang w:eastAsia="en-GB"/>
        </w:rPr>
        <w:t xml:space="preserve"> in the </w:t>
      </w:r>
      <w:r w:rsidRPr="00224519">
        <w:rPr>
          <w:rFonts w:ascii="Verdana" w:hAnsi="Verdana" w:cs="Arial"/>
          <w:bCs/>
          <w:color w:val="000000"/>
          <w:sz w:val="24"/>
          <w:szCs w:val="24"/>
          <w:lang w:eastAsia="en-GB"/>
        </w:rPr>
        <w:t xml:space="preserve">Clinical Contact Centres, a reduction in the contribution of running calls to Red performance and a significant increase in handover lost hours, all of which have negatively impacted on Red performance. Whilst Amber </w:t>
      </w:r>
      <w:r w:rsidR="00B678C2" w:rsidRPr="00224519">
        <w:rPr>
          <w:rFonts w:ascii="Verdana" w:hAnsi="Verdana" w:cs="Arial"/>
          <w:bCs/>
          <w:color w:val="000000"/>
          <w:sz w:val="24"/>
          <w:szCs w:val="24"/>
          <w:lang w:eastAsia="en-GB"/>
        </w:rPr>
        <w:t xml:space="preserve">demand </w:t>
      </w:r>
      <w:r w:rsidRPr="00224519">
        <w:rPr>
          <w:rFonts w:ascii="Verdana" w:hAnsi="Verdana" w:cs="Arial"/>
          <w:bCs/>
          <w:color w:val="000000"/>
          <w:sz w:val="24"/>
          <w:szCs w:val="24"/>
          <w:lang w:eastAsia="en-GB"/>
        </w:rPr>
        <w:t xml:space="preserve">has remained more stable Amber performance has deteriorated as the Clinical Response Model attempts to protect Red performance.  The fundamental strategic response to both Red and Amber is the </w:t>
      </w:r>
      <w:r w:rsidR="00B678C2" w:rsidRPr="00224519">
        <w:rPr>
          <w:rFonts w:ascii="Verdana" w:hAnsi="Verdana" w:cs="Arial"/>
          <w:bCs/>
          <w:color w:val="000000"/>
          <w:sz w:val="24"/>
          <w:szCs w:val="24"/>
          <w:lang w:eastAsia="en-GB"/>
        </w:rPr>
        <w:t xml:space="preserve">EMS </w:t>
      </w:r>
      <w:r w:rsidRPr="00224519">
        <w:rPr>
          <w:rFonts w:ascii="Verdana" w:hAnsi="Verdana" w:cs="Arial"/>
          <w:bCs/>
          <w:color w:val="000000"/>
          <w:sz w:val="24"/>
          <w:szCs w:val="24"/>
          <w:lang w:eastAsia="en-GB"/>
        </w:rPr>
        <w:t>Demand &amp; Capacity Review, arising from the Amber Review, both of which have been delivered at pace and on time.</w:t>
      </w:r>
    </w:p>
    <w:p w:rsidR="0038758B" w:rsidRPr="00224519" w:rsidRDefault="0038758B" w:rsidP="0038758B">
      <w:pPr>
        <w:pStyle w:val="ListParagraph"/>
        <w:ind w:left="426"/>
        <w:jc w:val="both"/>
        <w:rPr>
          <w:rFonts w:ascii="Verdana" w:hAnsi="Verdana" w:cs="Arial"/>
          <w:bCs/>
          <w:color w:val="000000"/>
          <w:sz w:val="24"/>
          <w:szCs w:val="24"/>
          <w:lang w:eastAsia="en-GB"/>
        </w:rPr>
      </w:pPr>
    </w:p>
    <w:p w:rsidR="0038758B" w:rsidRPr="00224519" w:rsidRDefault="0038758B" w:rsidP="00D45388">
      <w:pPr>
        <w:pStyle w:val="ListParagraph"/>
        <w:numPr>
          <w:ilvl w:val="0"/>
          <w:numId w:val="1"/>
        </w:numPr>
        <w:ind w:left="426" w:hanging="426"/>
        <w:jc w:val="both"/>
        <w:rPr>
          <w:rFonts w:ascii="Verdana" w:hAnsi="Verdana" w:cs="Arial"/>
          <w:bCs/>
          <w:color w:val="000000"/>
          <w:sz w:val="24"/>
          <w:szCs w:val="24"/>
          <w:lang w:eastAsia="en-GB"/>
        </w:rPr>
      </w:pPr>
      <w:r w:rsidRPr="00224519">
        <w:rPr>
          <w:rFonts w:ascii="Verdana" w:hAnsi="Verdana" w:cs="Arial"/>
          <w:bCs/>
          <w:color w:val="000000"/>
          <w:sz w:val="24"/>
          <w:szCs w:val="24"/>
          <w:lang w:eastAsia="en-GB"/>
        </w:rPr>
        <w:t xml:space="preserve">Sickness </w:t>
      </w:r>
      <w:r w:rsidR="002343CC" w:rsidRPr="00224519">
        <w:rPr>
          <w:rFonts w:ascii="Verdana" w:hAnsi="Verdana" w:cs="Arial"/>
          <w:bCs/>
          <w:color w:val="000000"/>
          <w:sz w:val="24"/>
          <w:szCs w:val="24"/>
          <w:lang w:eastAsia="en-GB"/>
        </w:rPr>
        <w:t>rates have deteriorated and have been higher through the first part of 2019/20 than previous years. The Demand &amp; Capacity Review also identified that abstractions from rosters were high with the main contributory factor being sickness absence.  WAST has a</w:t>
      </w:r>
      <w:r w:rsidR="0029398F" w:rsidRPr="00224519">
        <w:rPr>
          <w:rFonts w:ascii="Verdana" w:hAnsi="Verdana" w:cs="Arial"/>
          <w:bCs/>
          <w:color w:val="000000"/>
          <w:sz w:val="24"/>
          <w:szCs w:val="24"/>
          <w:lang w:eastAsia="en-GB"/>
        </w:rPr>
        <w:t xml:space="preserve"> Resource Availability Programme in place with nine work streams, one of which is absence management.  S</w:t>
      </w:r>
      <w:r w:rsidR="002343CC" w:rsidRPr="00224519">
        <w:rPr>
          <w:rFonts w:ascii="Verdana" w:hAnsi="Verdana" w:cs="Arial"/>
          <w:bCs/>
          <w:color w:val="000000"/>
          <w:sz w:val="24"/>
          <w:szCs w:val="24"/>
          <w:lang w:eastAsia="en-GB"/>
        </w:rPr>
        <w:t>ickness absence levels in Nov-19 were improved and better than previous years</w:t>
      </w:r>
      <w:r w:rsidR="00FC23A6" w:rsidRPr="00224519">
        <w:rPr>
          <w:rFonts w:ascii="Verdana" w:hAnsi="Verdana" w:cs="Arial"/>
          <w:bCs/>
          <w:color w:val="000000"/>
          <w:sz w:val="24"/>
          <w:szCs w:val="24"/>
          <w:lang w:eastAsia="en-GB"/>
        </w:rPr>
        <w:t xml:space="preserve"> (see WAST Provider Report)</w:t>
      </w:r>
      <w:r w:rsidR="002343CC" w:rsidRPr="00224519">
        <w:rPr>
          <w:rFonts w:ascii="Verdana" w:hAnsi="Verdana" w:cs="Arial"/>
          <w:bCs/>
          <w:color w:val="000000"/>
          <w:sz w:val="24"/>
          <w:szCs w:val="24"/>
          <w:lang w:eastAsia="en-GB"/>
        </w:rPr>
        <w:t>.</w:t>
      </w:r>
    </w:p>
    <w:p w:rsidR="002343CC" w:rsidRPr="00224519" w:rsidRDefault="002343CC" w:rsidP="002343CC">
      <w:pPr>
        <w:pStyle w:val="ListParagraph"/>
        <w:rPr>
          <w:rFonts w:ascii="Verdana" w:hAnsi="Verdana" w:cs="Arial"/>
          <w:bCs/>
          <w:color w:val="000000"/>
          <w:sz w:val="24"/>
          <w:szCs w:val="24"/>
          <w:lang w:eastAsia="en-GB"/>
        </w:rPr>
      </w:pPr>
    </w:p>
    <w:p w:rsidR="002343CC" w:rsidRPr="00224519" w:rsidRDefault="002343CC" w:rsidP="00D45388">
      <w:pPr>
        <w:pStyle w:val="ListParagraph"/>
        <w:numPr>
          <w:ilvl w:val="0"/>
          <w:numId w:val="1"/>
        </w:numPr>
        <w:ind w:left="426" w:hanging="426"/>
        <w:jc w:val="both"/>
        <w:rPr>
          <w:rFonts w:ascii="Verdana" w:hAnsi="Verdana" w:cs="Arial"/>
          <w:bCs/>
          <w:color w:val="000000"/>
          <w:sz w:val="24"/>
          <w:szCs w:val="24"/>
          <w:lang w:eastAsia="en-GB"/>
        </w:rPr>
      </w:pPr>
      <w:r w:rsidRPr="00224519">
        <w:rPr>
          <w:rFonts w:ascii="Verdana" w:hAnsi="Verdana" w:cs="Arial"/>
          <w:bCs/>
          <w:color w:val="000000"/>
          <w:sz w:val="24"/>
          <w:szCs w:val="24"/>
          <w:lang w:eastAsia="en-GB"/>
        </w:rPr>
        <w:t>WAST does not use private sector ambulance external providers and has not done so for some time.</w:t>
      </w:r>
    </w:p>
    <w:p w:rsidR="002343CC" w:rsidRPr="00224519" w:rsidRDefault="002343CC" w:rsidP="002343CC">
      <w:pPr>
        <w:pStyle w:val="ListParagraph"/>
        <w:rPr>
          <w:rFonts w:ascii="Verdana" w:hAnsi="Verdana" w:cs="Arial"/>
          <w:bCs/>
          <w:color w:val="000000"/>
          <w:sz w:val="24"/>
          <w:szCs w:val="24"/>
          <w:lang w:eastAsia="en-GB"/>
        </w:rPr>
      </w:pPr>
    </w:p>
    <w:p w:rsidR="002343CC" w:rsidRPr="00224519" w:rsidRDefault="002343CC" w:rsidP="00D45388">
      <w:pPr>
        <w:pStyle w:val="ListParagraph"/>
        <w:numPr>
          <w:ilvl w:val="0"/>
          <w:numId w:val="1"/>
        </w:numPr>
        <w:ind w:left="426" w:hanging="426"/>
        <w:jc w:val="both"/>
        <w:rPr>
          <w:rFonts w:ascii="Verdana" w:hAnsi="Verdana" w:cs="Arial"/>
          <w:bCs/>
          <w:color w:val="000000"/>
          <w:sz w:val="24"/>
          <w:szCs w:val="24"/>
          <w:lang w:eastAsia="en-GB"/>
        </w:rPr>
      </w:pPr>
      <w:r w:rsidRPr="00224519">
        <w:rPr>
          <w:rFonts w:ascii="Verdana" w:hAnsi="Verdana" w:cs="Arial"/>
          <w:bCs/>
          <w:color w:val="000000"/>
          <w:sz w:val="24"/>
          <w:szCs w:val="24"/>
          <w:lang w:eastAsia="en-GB"/>
        </w:rPr>
        <w:t>Roster reviews have been completed in Aneurin Bevan</w:t>
      </w:r>
      <w:r w:rsidR="00FC23A6" w:rsidRPr="00224519">
        <w:rPr>
          <w:rFonts w:ascii="Verdana" w:hAnsi="Verdana" w:cs="Arial"/>
          <w:bCs/>
          <w:color w:val="000000"/>
          <w:sz w:val="24"/>
          <w:szCs w:val="24"/>
          <w:lang w:eastAsia="en-GB"/>
        </w:rPr>
        <w:t xml:space="preserve"> University Health Board (UHP)</w:t>
      </w:r>
      <w:r w:rsidRPr="00224519">
        <w:rPr>
          <w:rFonts w:ascii="Verdana" w:hAnsi="Verdana" w:cs="Arial"/>
          <w:bCs/>
          <w:color w:val="000000"/>
          <w:sz w:val="24"/>
          <w:szCs w:val="24"/>
          <w:lang w:eastAsia="en-GB"/>
        </w:rPr>
        <w:t xml:space="preserve"> and Cwm Taf</w:t>
      </w:r>
      <w:r w:rsidR="0029398F" w:rsidRPr="00224519">
        <w:rPr>
          <w:rFonts w:ascii="Verdana" w:hAnsi="Verdana" w:cs="Arial"/>
          <w:bCs/>
          <w:color w:val="000000"/>
          <w:sz w:val="24"/>
          <w:szCs w:val="24"/>
          <w:lang w:eastAsia="en-GB"/>
        </w:rPr>
        <w:t xml:space="preserve"> Morgannwg</w:t>
      </w:r>
      <w:r w:rsidR="00FC23A6" w:rsidRPr="00224519">
        <w:rPr>
          <w:rFonts w:ascii="Verdana" w:hAnsi="Verdana" w:cs="Arial"/>
          <w:bCs/>
          <w:color w:val="000000"/>
          <w:sz w:val="24"/>
          <w:szCs w:val="24"/>
          <w:lang w:eastAsia="en-GB"/>
        </w:rPr>
        <w:t xml:space="preserve"> (UHP) using roster keys supplied from the last Demand &amp; Capacity Review</w:t>
      </w:r>
      <w:r w:rsidRPr="00224519">
        <w:rPr>
          <w:rFonts w:ascii="Verdana" w:hAnsi="Verdana" w:cs="Arial"/>
          <w:bCs/>
          <w:color w:val="000000"/>
          <w:sz w:val="24"/>
          <w:szCs w:val="24"/>
          <w:lang w:eastAsia="en-GB"/>
        </w:rPr>
        <w:t xml:space="preserve">, so alignment to demand will </w:t>
      </w:r>
      <w:r w:rsidRPr="00224519">
        <w:rPr>
          <w:rFonts w:ascii="Verdana" w:hAnsi="Verdana" w:cs="Arial"/>
          <w:bCs/>
          <w:color w:val="000000"/>
          <w:sz w:val="24"/>
          <w:szCs w:val="24"/>
          <w:lang w:eastAsia="en-GB"/>
        </w:rPr>
        <w:lastRenderedPageBreak/>
        <w:t xml:space="preserve">have improved in 2019/20. The </w:t>
      </w:r>
      <w:r w:rsidR="00072CA6" w:rsidRPr="00224519">
        <w:rPr>
          <w:rFonts w:ascii="Verdana" w:hAnsi="Verdana" w:cs="Arial"/>
          <w:bCs/>
          <w:color w:val="000000"/>
          <w:sz w:val="24"/>
          <w:szCs w:val="24"/>
          <w:lang w:eastAsia="en-GB"/>
        </w:rPr>
        <w:t xml:space="preserve">most recent </w:t>
      </w:r>
      <w:r w:rsidRPr="00224519">
        <w:rPr>
          <w:rFonts w:ascii="Verdana" w:hAnsi="Verdana" w:cs="Arial"/>
          <w:bCs/>
          <w:color w:val="000000"/>
          <w:sz w:val="24"/>
          <w:szCs w:val="24"/>
          <w:lang w:eastAsia="en-GB"/>
        </w:rPr>
        <w:t>Demand &amp; Capacity Review has identified the need to undertake</w:t>
      </w:r>
      <w:r w:rsidR="00C419B3" w:rsidRPr="00224519">
        <w:rPr>
          <w:rFonts w:ascii="Verdana" w:hAnsi="Verdana" w:cs="Arial"/>
          <w:bCs/>
          <w:color w:val="000000"/>
          <w:sz w:val="24"/>
          <w:szCs w:val="24"/>
          <w:lang w:eastAsia="en-GB"/>
        </w:rPr>
        <w:t xml:space="preserve"> </w:t>
      </w:r>
      <w:r w:rsidR="00072CA6" w:rsidRPr="00224519">
        <w:rPr>
          <w:rFonts w:ascii="Verdana" w:hAnsi="Verdana" w:cs="Arial"/>
          <w:bCs/>
          <w:color w:val="000000"/>
          <w:sz w:val="24"/>
          <w:szCs w:val="24"/>
          <w:lang w:eastAsia="en-GB"/>
        </w:rPr>
        <w:t xml:space="preserve">further </w:t>
      </w:r>
      <w:r w:rsidRPr="00224519">
        <w:rPr>
          <w:rFonts w:ascii="Verdana" w:hAnsi="Verdana" w:cs="Arial"/>
          <w:bCs/>
          <w:color w:val="000000"/>
          <w:sz w:val="24"/>
          <w:szCs w:val="24"/>
          <w:lang w:eastAsia="en-GB"/>
        </w:rPr>
        <w:t>roster reviews</w:t>
      </w:r>
      <w:r w:rsidR="00C419B3" w:rsidRPr="00224519">
        <w:rPr>
          <w:rFonts w:ascii="Verdana" w:hAnsi="Verdana" w:cs="Arial"/>
          <w:bCs/>
          <w:color w:val="000000"/>
          <w:sz w:val="24"/>
          <w:szCs w:val="24"/>
          <w:lang w:eastAsia="en-GB"/>
        </w:rPr>
        <w:t xml:space="preserve"> across every health board</w:t>
      </w:r>
      <w:r w:rsidRPr="00224519">
        <w:rPr>
          <w:rFonts w:ascii="Verdana" w:hAnsi="Verdana" w:cs="Arial"/>
          <w:bCs/>
          <w:color w:val="000000"/>
          <w:sz w:val="24"/>
          <w:szCs w:val="24"/>
          <w:lang w:eastAsia="en-GB"/>
        </w:rPr>
        <w:t>. The 2020/21 commissioning intentions include the development of a collaborative implementation programme associated with the Review: roster reviews will be undertaken in a coherent and phased way as part of this programme.</w:t>
      </w:r>
    </w:p>
    <w:p w:rsidR="002343CC" w:rsidRPr="00224519" w:rsidRDefault="002343CC" w:rsidP="002343CC">
      <w:pPr>
        <w:pStyle w:val="ListParagraph"/>
        <w:rPr>
          <w:rFonts w:ascii="Verdana" w:hAnsi="Verdana" w:cs="Arial"/>
          <w:bCs/>
          <w:color w:val="000000"/>
          <w:sz w:val="24"/>
          <w:szCs w:val="24"/>
          <w:lang w:eastAsia="en-GB"/>
        </w:rPr>
      </w:pPr>
    </w:p>
    <w:p w:rsidR="002343CC" w:rsidRPr="00224519" w:rsidRDefault="002343CC" w:rsidP="00D45388">
      <w:pPr>
        <w:pStyle w:val="ListParagraph"/>
        <w:numPr>
          <w:ilvl w:val="0"/>
          <w:numId w:val="1"/>
        </w:numPr>
        <w:ind w:left="426" w:hanging="426"/>
        <w:jc w:val="both"/>
        <w:rPr>
          <w:rFonts w:ascii="Verdana" w:hAnsi="Verdana" w:cs="Arial"/>
          <w:bCs/>
          <w:color w:val="000000"/>
          <w:sz w:val="24"/>
          <w:szCs w:val="24"/>
          <w:lang w:eastAsia="en-GB"/>
        </w:rPr>
      </w:pPr>
      <w:r w:rsidRPr="00224519">
        <w:rPr>
          <w:rFonts w:ascii="Verdana" w:hAnsi="Verdana" w:cs="Arial"/>
          <w:bCs/>
          <w:color w:val="000000"/>
          <w:sz w:val="24"/>
          <w:szCs w:val="24"/>
          <w:lang w:eastAsia="en-GB"/>
        </w:rPr>
        <w:t>The main measure for compliance with planned rosters is unit hours production</w:t>
      </w:r>
      <w:r w:rsidR="00C419B3" w:rsidRPr="00224519">
        <w:rPr>
          <w:rFonts w:ascii="Verdana" w:hAnsi="Verdana" w:cs="Arial"/>
          <w:bCs/>
          <w:color w:val="000000"/>
          <w:sz w:val="24"/>
          <w:szCs w:val="24"/>
          <w:lang w:eastAsia="en-GB"/>
        </w:rPr>
        <w:t xml:space="preserve"> (UHP)</w:t>
      </w:r>
      <w:r w:rsidRPr="00224519">
        <w:rPr>
          <w:rFonts w:ascii="Verdana" w:hAnsi="Verdana" w:cs="Arial"/>
          <w:bCs/>
          <w:color w:val="000000"/>
          <w:sz w:val="24"/>
          <w:szCs w:val="24"/>
          <w:lang w:eastAsia="en-GB"/>
        </w:rPr>
        <w:t xml:space="preserve"> and normally for </w:t>
      </w:r>
      <w:r w:rsidR="0029398F" w:rsidRPr="00224519">
        <w:rPr>
          <w:rFonts w:ascii="Verdana" w:hAnsi="Verdana" w:cs="Arial"/>
          <w:bCs/>
          <w:color w:val="000000"/>
          <w:sz w:val="24"/>
          <w:szCs w:val="24"/>
          <w:lang w:eastAsia="en-GB"/>
        </w:rPr>
        <w:t>emergency ambulance (</w:t>
      </w:r>
      <w:r w:rsidRPr="00224519">
        <w:rPr>
          <w:rFonts w:ascii="Verdana" w:hAnsi="Verdana" w:cs="Arial"/>
          <w:bCs/>
          <w:color w:val="000000"/>
          <w:sz w:val="24"/>
          <w:szCs w:val="24"/>
          <w:lang w:eastAsia="en-GB"/>
        </w:rPr>
        <w:t>EA</w:t>
      </w:r>
      <w:r w:rsidR="0029398F" w:rsidRPr="00224519">
        <w:rPr>
          <w:rFonts w:ascii="Verdana" w:hAnsi="Verdana" w:cs="Arial"/>
          <w:bCs/>
          <w:color w:val="000000"/>
          <w:sz w:val="24"/>
          <w:szCs w:val="24"/>
          <w:lang w:eastAsia="en-GB"/>
        </w:rPr>
        <w:t>)</w:t>
      </w:r>
      <w:r w:rsidRPr="00224519">
        <w:rPr>
          <w:rFonts w:ascii="Verdana" w:hAnsi="Verdana" w:cs="Arial"/>
          <w:bCs/>
          <w:color w:val="000000"/>
          <w:sz w:val="24"/>
          <w:szCs w:val="24"/>
          <w:lang w:eastAsia="en-GB"/>
        </w:rPr>
        <w:t xml:space="preserve"> resource. WAST has maintained EA UHP above 90%</w:t>
      </w:r>
      <w:r w:rsidR="00B678C2" w:rsidRPr="00224519">
        <w:rPr>
          <w:rFonts w:ascii="Verdana" w:hAnsi="Verdana" w:cs="Arial"/>
          <w:bCs/>
          <w:color w:val="000000"/>
          <w:sz w:val="24"/>
          <w:szCs w:val="24"/>
          <w:lang w:eastAsia="en-GB"/>
        </w:rPr>
        <w:t xml:space="preserve"> for six of the first nine months of</w:t>
      </w:r>
      <w:r w:rsidRPr="00224519">
        <w:rPr>
          <w:rFonts w:ascii="Verdana" w:hAnsi="Verdana" w:cs="Arial"/>
          <w:bCs/>
          <w:color w:val="000000"/>
          <w:sz w:val="24"/>
          <w:szCs w:val="24"/>
          <w:lang w:eastAsia="en-GB"/>
        </w:rPr>
        <w:t xml:space="preserve"> this year (with stron</w:t>
      </w:r>
      <w:r w:rsidR="00B678C2" w:rsidRPr="00224519">
        <w:rPr>
          <w:rFonts w:ascii="Verdana" w:hAnsi="Verdana" w:cs="Arial"/>
          <w:bCs/>
          <w:color w:val="000000"/>
          <w:sz w:val="24"/>
          <w:szCs w:val="24"/>
          <w:lang w:eastAsia="en-GB"/>
        </w:rPr>
        <w:t xml:space="preserve">g UHP over the festive period).  </w:t>
      </w:r>
      <w:r w:rsidR="00DF4717" w:rsidRPr="00224519">
        <w:rPr>
          <w:rFonts w:ascii="Verdana" w:hAnsi="Verdana" w:cs="Arial"/>
          <w:bCs/>
          <w:color w:val="000000"/>
          <w:sz w:val="24"/>
          <w:szCs w:val="24"/>
          <w:lang w:eastAsia="en-GB"/>
        </w:rPr>
        <w:t>The Amber Review and subsequent Demand &amp; Capacity Review identified 95% as a ben</w:t>
      </w:r>
      <w:r w:rsidR="00B678C2" w:rsidRPr="00224519">
        <w:rPr>
          <w:rFonts w:ascii="Verdana" w:hAnsi="Verdana" w:cs="Arial"/>
          <w:bCs/>
          <w:color w:val="000000"/>
          <w:sz w:val="24"/>
          <w:szCs w:val="24"/>
          <w:lang w:eastAsia="en-GB"/>
        </w:rPr>
        <w:t xml:space="preserve">chmark for EA UHP. This is </w:t>
      </w:r>
      <w:r w:rsidR="00FC23A6" w:rsidRPr="00224519">
        <w:rPr>
          <w:rFonts w:ascii="Verdana" w:hAnsi="Verdana" w:cs="Arial"/>
          <w:bCs/>
          <w:color w:val="000000"/>
          <w:sz w:val="24"/>
          <w:szCs w:val="24"/>
          <w:lang w:eastAsia="en-GB"/>
        </w:rPr>
        <w:t xml:space="preserve">currently </w:t>
      </w:r>
      <w:r w:rsidR="00DF4717" w:rsidRPr="00224519">
        <w:rPr>
          <w:rFonts w:ascii="Verdana" w:hAnsi="Verdana" w:cs="Arial"/>
          <w:bCs/>
          <w:color w:val="000000"/>
          <w:sz w:val="24"/>
          <w:szCs w:val="24"/>
          <w:lang w:eastAsia="en-GB"/>
        </w:rPr>
        <w:t xml:space="preserve">challenging for WAST with a relief gap of 262.5 FTEs.  An alternative measure is the total EMS actual ambulance hours (this is for all type of </w:t>
      </w:r>
      <w:r w:rsidR="00FC23A6" w:rsidRPr="00224519">
        <w:rPr>
          <w:rFonts w:ascii="Verdana" w:hAnsi="Verdana" w:cs="Arial"/>
          <w:bCs/>
          <w:color w:val="000000"/>
          <w:sz w:val="24"/>
          <w:szCs w:val="24"/>
          <w:lang w:eastAsia="en-GB"/>
        </w:rPr>
        <w:t xml:space="preserve">responding </w:t>
      </w:r>
      <w:r w:rsidR="00DF4717" w:rsidRPr="00224519">
        <w:rPr>
          <w:rFonts w:ascii="Verdana" w:hAnsi="Verdana" w:cs="Arial"/>
          <w:bCs/>
          <w:color w:val="000000"/>
          <w:sz w:val="24"/>
          <w:szCs w:val="24"/>
          <w:lang w:eastAsia="en-GB"/>
        </w:rPr>
        <w:t>resource) put out. For the first 9 months of 2019/20 WAST has increased the hours put out by 1.4%.</w:t>
      </w:r>
    </w:p>
    <w:p w:rsidR="00C07380" w:rsidRPr="00224519" w:rsidRDefault="00C07380" w:rsidP="00C07380">
      <w:pPr>
        <w:pStyle w:val="ListParagraph"/>
        <w:rPr>
          <w:rFonts w:ascii="Verdana" w:hAnsi="Verdana" w:cs="Arial"/>
          <w:b/>
          <w:bCs/>
          <w:color w:val="000000"/>
          <w:sz w:val="24"/>
          <w:szCs w:val="24"/>
          <w:lang w:eastAsia="en-GB"/>
        </w:rPr>
      </w:pPr>
    </w:p>
    <w:p w:rsidR="00C07380" w:rsidRPr="00224519" w:rsidRDefault="00DF4717" w:rsidP="00D45388">
      <w:pPr>
        <w:pStyle w:val="ListParagraph"/>
        <w:numPr>
          <w:ilvl w:val="0"/>
          <w:numId w:val="1"/>
        </w:numPr>
        <w:ind w:left="426" w:hanging="426"/>
        <w:jc w:val="both"/>
        <w:rPr>
          <w:rFonts w:ascii="Verdana" w:hAnsi="Verdana" w:cs="Arial"/>
          <w:bCs/>
          <w:color w:val="000000"/>
          <w:sz w:val="24"/>
          <w:szCs w:val="24"/>
          <w:lang w:eastAsia="en-GB"/>
        </w:rPr>
      </w:pPr>
      <w:r w:rsidRPr="00224519">
        <w:rPr>
          <w:rFonts w:ascii="Verdana" w:hAnsi="Verdana" w:cs="Arial"/>
          <w:bCs/>
          <w:color w:val="000000"/>
          <w:sz w:val="24"/>
          <w:szCs w:val="24"/>
          <w:lang w:eastAsia="en-GB"/>
        </w:rPr>
        <w:t>The calculation of the “net effect” is not clear</w:t>
      </w:r>
      <w:r w:rsidR="0029398F" w:rsidRPr="00224519">
        <w:rPr>
          <w:rFonts w:ascii="Verdana" w:hAnsi="Verdana" w:cs="Arial"/>
          <w:bCs/>
          <w:color w:val="000000"/>
          <w:sz w:val="24"/>
          <w:szCs w:val="24"/>
          <w:lang w:eastAsia="en-GB"/>
        </w:rPr>
        <w:t xml:space="preserve"> and needs further collaborative work between NCCU and WAST</w:t>
      </w:r>
      <w:r w:rsidR="00FC23A6" w:rsidRPr="00224519">
        <w:rPr>
          <w:rFonts w:ascii="Verdana" w:hAnsi="Verdana" w:cs="Arial"/>
          <w:bCs/>
          <w:color w:val="000000"/>
          <w:sz w:val="24"/>
          <w:szCs w:val="24"/>
          <w:lang w:eastAsia="en-GB"/>
        </w:rPr>
        <w:t>, which both parties have agreed to as part of the 2020/21 commissioning intentions</w:t>
      </w:r>
      <w:r w:rsidRPr="00224519">
        <w:rPr>
          <w:rFonts w:ascii="Verdana" w:hAnsi="Verdana" w:cs="Arial"/>
          <w:bCs/>
          <w:color w:val="000000"/>
          <w:sz w:val="24"/>
          <w:szCs w:val="24"/>
          <w:lang w:eastAsia="en-GB"/>
        </w:rPr>
        <w:t>. Clearly, given Red and Amber performance have deteriorated this would suggest the “net effect” is a negative. Whilst the exac</w:t>
      </w:r>
      <w:r w:rsidR="00AE04E4" w:rsidRPr="00224519">
        <w:rPr>
          <w:rFonts w:ascii="Verdana" w:hAnsi="Verdana" w:cs="Arial"/>
          <w:bCs/>
          <w:color w:val="000000"/>
          <w:sz w:val="24"/>
          <w:szCs w:val="24"/>
          <w:lang w:eastAsia="en-GB"/>
        </w:rPr>
        <w:t>t method of calculation is not clear WAST has improved its hear &amp; treat</w:t>
      </w:r>
      <w:r w:rsidR="00C419B3" w:rsidRPr="00224519">
        <w:rPr>
          <w:rFonts w:ascii="Verdana" w:hAnsi="Verdana" w:cs="Arial"/>
          <w:bCs/>
          <w:color w:val="000000"/>
          <w:sz w:val="24"/>
          <w:szCs w:val="24"/>
          <w:lang w:eastAsia="en-GB"/>
        </w:rPr>
        <w:t xml:space="preserve"> ambulances stopped</w:t>
      </w:r>
      <w:r w:rsidR="00AE04E4" w:rsidRPr="00224519">
        <w:rPr>
          <w:rFonts w:ascii="Verdana" w:hAnsi="Verdana" w:cs="Arial"/>
          <w:bCs/>
          <w:color w:val="000000"/>
          <w:sz w:val="24"/>
          <w:szCs w:val="24"/>
          <w:lang w:eastAsia="en-GB"/>
        </w:rPr>
        <w:t>, increased the ambulance hours produced, reduced conveyance</w:t>
      </w:r>
      <w:r w:rsidR="00FC23A6" w:rsidRPr="00224519">
        <w:rPr>
          <w:rFonts w:ascii="Verdana" w:hAnsi="Verdana" w:cs="Arial"/>
          <w:bCs/>
          <w:color w:val="000000"/>
          <w:sz w:val="24"/>
          <w:szCs w:val="24"/>
          <w:lang w:eastAsia="en-GB"/>
        </w:rPr>
        <w:t xml:space="preserve"> to emergency departments</w:t>
      </w:r>
      <w:r w:rsidR="00AE04E4" w:rsidRPr="00224519">
        <w:rPr>
          <w:rFonts w:ascii="Verdana" w:hAnsi="Verdana" w:cs="Arial"/>
          <w:bCs/>
          <w:color w:val="000000"/>
          <w:sz w:val="24"/>
          <w:szCs w:val="24"/>
          <w:lang w:eastAsia="en-GB"/>
        </w:rPr>
        <w:t xml:space="preserve"> and reduced lost hou</w:t>
      </w:r>
      <w:r w:rsidR="0029398F" w:rsidRPr="00224519">
        <w:rPr>
          <w:rFonts w:ascii="Verdana" w:hAnsi="Verdana" w:cs="Arial"/>
          <w:bCs/>
          <w:color w:val="000000"/>
          <w:sz w:val="24"/>
          <w:szCs w:val="24"/>
          <w:lang w:eastAsia="en-GB"/>
        </w:rPr>
        <w:t>rs clearing at hospitals i.e. WAST</w:t>
      </w:r>
      <w:r w:rsidR="00AE04E4" w:rsidRPr="00224519">
        <w:rPr>
          <w:rFonts w:ascii="Verdana" w:hAnsi="Verdana" w:cs="Arial"/>
          <w:bCs/>
          <w:color w:val="000000"/>
          <w:sz w:val="24"/>
          <w:szCs w:val="24"/>
          <w:lang w:eastAsia="en-GB"/>
        </w:rPr>
        <w:t xml:space="preserve"> ha</w:t>
      </w:r>
      <w:r w:rsidR="0029398F" w:rsidRPr="00224519">
        <w:rPr>
          <w:rFonts w:ascii="Verdana" w:hAnsi="Verdana" w:cs="Arial"/>
          <w:bCs/>
          <w:color w:val="000000"/>
          <w:sz w:val="24"/>
          <w:szCs w:val="24"/>
          <w:lang w:eastAsia="en-GB"/>
        </w:rPr>
        <w:t>s</w:t>
      </w:r>
      <w:r w:rsidR="00AE04E4" w:rsidRPr="00224519">
        <w:rPr>
          <w:rFonts w:ascii="Verdana" w:hAnsi="Verdana" w:cs="Arial"/>
          <w:bCs/>
          <w:color w:val="000000"/>
          <w:sz w:val="24"/>
          <w:szCs w:val="24"/>
          <w:lang w:eastAsia="en-GB"/>
        </w:rPr>
        <w:t xml:space="preserve"> improved </w:t>
      </w:r>
      <w:r w:rsidR="00FC23A6" w:rsidRPr="00224519">
        <w:rPr>
          <w:rFonts w:ascii="Verdana" w:hAnsi="Verdana" w:cs="Arial"/>
          <w:bCs/>
          <w:color w:val="000000"/>
          <w:sz w:val="24"/>
          <w:szCs w:val="24"/>
          <w:lang w:eastAsia="en-GB"/>
        </w:rPr>
        <w:t xml:space="preserve">key metrics within our </w:t>
      </w:r>
      <w:r w:rsidR="00AE04E4" w:rsidRPr="00224519">
        <w:rPr>
          <w:rFonts w:ascii="Verdana" w:hAnsi="Verdana" w:cs="Arial"/>
          <w:bCs/>
          <w:color w:val="000000"/>
          <w:sz w:val="24"/>
          <w:szCs w:val="24"/>
          <w:lang w:eastAsia="en-GB"/>
        </w:rPr>
        <w:t xml:space="preserve">ability to control. </w:t>
      </w:r>
    </w:p>
    <w:p w:rsidR="0043359F" w:rsidRPr="00224519" w:rsidRDefault="0043359F" w:rsidP="0043359F">
      <w:pPr>
        <w:jc w:val="both"/>
        <w:rPr>
          <w:rFonts w:ascii="Verdana" w:hAnsi="Verdana" w:cs="Arial"/>
          <w:sz w:val="24"/>
          <w:szCs w:val="24"/>
          <w:u w:val="single"/>
        </w:rPr>
      </w:pPr>
    </w:p>
    <w:p w:rsidR="00656464" w:rsidRPr="00224519" w:rsidRDefault="00AE04E4" w:rsidP="0017564E">
      <w:pPr>
        <w:pStyle w:val="ListParagraph"/>
        <w:numPr>
          <w:ilvl w:val="0"/>
          <w:numId w:val="4"/>
        </w:numPr>
        <w:jc w:val="both"/>
        <w:rPr>
          <w:rFonts w:ascii="Verdana" w:hAnsi="Verdana" w:cs="Arial"/>
          <w:sz w:val="24"/>
          <w:szCs w:val="24"/>
        </w:rPr>
      </w:pPr>
      <w:r w:rsidRPr="00224519">
        <w:rPr>
          <w:rFonts w:ascii="Verdana" w:hAnsi="Verdana" w:cs="Arial"/>
          <w:sz w:val="24"/>
          <w:szCs w:val="24"/>
        </w:rPr>
        <w:t xml:space="preserve">The NCCU </w:t>
      </w:r>
      <w:r w:rsidR="00A90DFC" w:rsidRPr="00224519">
        <w:rPr>
          <w:rFonts w:ascii="Verdana" w:hAnsi="Verdana" w:cs="Arial"/>
          <w:sz w:val="24"/>
          <w:szCs w:val="24"/>
        </w:rPr>
        <w:t xml:space="preserve">were unable to ascertain performance against the following </w:t>
      </w:r>
      <w:r w:rsidRPr="00224519">
        <w:rPr>
          <w:rFonts w:ascii="Verdana" w:hAnsi="Verdana" w:cs="Arial"/>
          <w:sz w:val="24"/>
          <w:szCs w:val="24"/>
        </w:rPr>
        <w:t>EMS f</w:t>
      </w:r>
      <w:r w:rsidR="00A90DFC" w:rsidRPr="00224519">
        <w:rPr>
          <w:rFonts w:ascii="Verdana" w:hAnsi="Verdana" w:cs="Arial"/>
          <w:sz w:val="24"/>
          <w:szCs w:val="24"/>
        </w:rPr>
        <w:t>ramework improvements:-</w:t>
      </w:r>
    </w:p>
    <w:p w:rsidR="00A90DFC" w:rsidRPr="00224519" w:rsidRDefault="00A90DFC" w:rsidP="00A90DFC">
      <w:pPr>
        <w:jc w:val="both"/>
        <w:rPr>
          <w:rFonts w:ascii="Verdana" w:hAnsi="Verdana" w:cs="Arial"/>
          <w:sz w:val="24"/>
          <w:szCs w:val="24"/>
        </w:rPr>
      </w:pPr>
    </w:p>
    <w:p w:rsidR="00A90DFC" w:rsidRPr="00224519" w:rsidRDefault="00A90DFC" w:rsidP="00A90DFC">
      <w:pPr>
        <w:pStyle w:val="ListParagraph"/>
        <w:numPr>
          <w:ilvl w:val="0"/>
          <w:numId w:val="25"/>
        </w:numPr>
        <w:contextualSpacing w:val="0"/>
        <w:rPr>
          <w:rFonts w:ascii="Verdana" w:hAnsi="Verdana"/>
          <w:sz w:val="24"/>
          <w:szCs w:val="24"/>
        </w:rPr>
      </w:pPr>
      <w:r w:rsidRPr="00224519">
        <w:rPr>
          <w:rFonts w:ascii="Verdana" w:hAnsi="Verdana" w:cs="Arial"/>
          <w:color w:val="000000"/>
          <w:sz w:val="24"/>
          <w:szCs w:val="24"/>
        </w:rPr>
        <w:t>[Carried Forward from 2018/19] Fleet and staff mix to be reviewed for each health board area tailoring the delivery of the 5 Step Ambulance Patient Pa</w:t>
      </w:r>
      <w:r w:rsidR="00FC23A6" w:rsidRPr="00224519">
        <w:rPr>
          <w:rFonts w:ascii="Verdana" w:hAnsi="Verdana" w:cs="Arial"/>
          <w:color w:val="000000"/>
          <w:sz w:val="24"/>
          <w:szCs w:val="24"/>
        </w:rPr>
        <w:t>thway to local population needs;</w:t>
      </w:r>
    </w:p>
    <w:p w:rsidR="00A90DFC" w:rsidRPr="00224519" w:rsidRDefault="00A90DFC" w:rsidP="00A90DFC">
      <w:pPr>
        <w:pStyle w:val="ListParagraph"/>
        <w:numPr>
          <w:ilvl w:val="0"/>
          <w:numId w:val="25"/>
        </w:numPr>
        <w:contextualSpacing w:val="0"/>
        <w:rPr>
          <w:rFonts w:ascii="Verdana" w:hAnsi="Verdana"/>
          <w:sz w:val="24"/>
          <w:szCs w:val="24"/>
        </w:rPr>
      </w:pPr>
      <w:r w:rsidRPr="00224519">
        <w:rPr>
          <w:rFonts w:ascii="Verdana" w:hAnsi="Verdana" w:cs="Arial"/>
          <w:color w:val="000000"/>
          <w:sz w:val="24"/>
          <w:szCs w:val="24"/>
        </w:rPr>
        <w:t>The reporting against core requirements to be undertaken twice per year as described under the Commissioning Intention for Care Standards</w:t>
      </w:r>
      <w:r w:rsidR="00FC23A6" w:rsidRPr="00224519">
        <w:rPr>
          <w:rFonts w:ascii="Verdana" w:hAnsi="Verdana" w:cs="Arial"/>
          <w:color w:val="000000"/>
          <w:sz w:val="24"/>
          <w:szCs w:val="24"/>
        </w:rPr>
        <w:t>;</w:t>
      </w:r>
    </w:p>
    <w:p w:rsidR="00A90DFC" w:rsidRPr="00224519" w:rsidRDefault="00A90DFC" w:rsidP="00A90DFC">
      <w:pPr>
        <w:pStyle w:val="ListParagraph"/>
        <w:numPr>
          <w:ilvl w:val="0"/>
          <w:numId w:val="25"/>
        </w:numPr>
        <w:contextualSpacing w:val="0"/>
        <w:rPr>
          <w:rFonts w:ascii="Verdana" w:hAnsi="Verdana" w:cs="Arial"/>
          <w:color w:val="000000"/>
          <w:sz w:val="24"/>
          <w:szCs w:val="24"/>
        </w:rPr>
      </w:pPr>
      <w:r w:rsidRPr="00224519">
        <w:rPr>
          <w:rFonts w:ascii="Verdana" w:hAnsi="Verdana" w:cs="Arial"/>
          <w:color w:val="000000"/>
          <w:sz w:val="24"/>
          <w:szCs w:val="24"/>
        </w:rPr>
        <w:t>[Carried Forward from 2018/19] Call to door times for STEMI (pPCI door) and</w:t>
      </w:r>
      <w:r w:rsidR="00FC23A6" w:rsidRPr="00224519">
        <w:rPr>
          <w:rFonts w:ascii="Verdana" w:hAnsi="Verdana" w:cs="Arial"/>
          <w:color w:val="000000"/>
          <w:sz w:val="24"/>
          <w:szCs w:val="24"/>
        </w:rPr>
        <w:t xml:space="preserve"> Stroke to be produced;</w:t>
      </w:r>
    </w:p>
    <w:p w:rsidR="00A90DFC" w:rsidRPr="00224519" w:rsidRDefault="00A90DFC" w:rsidP="00A90DFC">
      <w:pPr>
        <w:pStyle w:val="ListParagraph"/>
        <w:numPr>
          <w:ilvl w:val="0"/>
          <w:numId w:val="25"/>
        </w:numPr>
        <w:contextualSpacing w:val="0"/>
        <w:rPr>
          <w:rFonts w:ascii="Verdana" w:hAnsi="Verdana" w:cs="Arial"/>
          <w:color w:val="000000"/>
          <w:sz w:val="24"/>
          <w:szCs w:val="24"/>
        </w:rPr>
      </w:pPr>
      <w:r w:rsidRPr="00224519">
        <w:rPr>
          <w:rFonts w:ascii="Verdana" w:hAnsi="Verdana" w:cs="Arial"/>
          <w:color w:val="000000"/>
          <w:sz w:val="24"/>
          <w:szCs w:val="24"/>
        </w:rPr>
        <w:t xml:space="preserve">Development of </w:t>
      </w:r>
      <w:r w:rsidR="00E00A46" w:rsidRPr="00224519">
        <w:rPr>
          <w:rFonts w:ascii="Verdana" w:hAnsi="Verdana" w:cs="Arial"/>
          <w:color w:val="000000"/>
          <w:sz w:val="24"/>
          <w:szCs w:val="24"/>
        </w:rPr>
        <w:t>Clinical Indicators which comple</w:t>
      </w:r>
      <w:r w:rsidRPr="00224519">
        <w:rPr>
          <w:rFonts w:ascii="Verdana" w:hAnsi="Verdana" w:cs="Arial"/>
          <w:color w:val="000000"/>
          <w:sz w:val="24"/>
          <w:szCs w:val="24"/>
        </w:rPr>
        <w:t>ment the benefit</w:t>
      </w:r>
      <w:r w:rsidR="00FC23A6" w:rsidRPr="00224519">
        <w:rPr>
          <w:rFonts w:ascii="Verdana" w:hAnsi="Verdana" w:cs="Arial"/>
          <w:color w:val="000000"/>
          <w:sz w:val="24"/>
          <w:szCs w:val="24"/>
        </w:rPr>
        <w:t xml:space="preserve"> </w:t>
      </w:r>
      <w:r w:rsidRPr="00224519">
        <w:rPr>
          <w:rFonts w:ascii="Verdana" w:hAnsi="Verdana" w:cs="Arial"/>
          <w:color w:val="000000"/>
          <w:sz w:val="24"/>
          <w:szCs w:val="24"/>
        </w:rPr>
        <w:t>realisation assumptions for Band 6 Paramedic investment to be produced</w:t>
      </w:r>
      <w:r w:rsidR="00FC23A6" w:rsidRPr="00224519">
        <w:rPr>
          <w:rFonts w:ascii="Verdana" w:hAnsi="Verdana" w:cs="Arial"/>
          <w:color w:val="000000"/>
          <w:sz w:val="24"/>
          <w:szCs w:val="24"/>
        </w:rPr>
        <w:t>; and</w:t>
      </w:r>
    </w:p>
    <w:p w:rsidR="00A90DFC" w:rsidRPr="00224519" w:rsidRDefault="00A90DFC" w:rsidP="00A90DFC">
      <w:pPr>
        <w:pStyle w:val="ListParagraph"/>
        <w:numPr>
          <w:ilvl w:val="0"/>
          <w:numId w:val="25"/>
        </w:numPr>
        <w:contextualSpacing w:val="0"/>
        <w:rPr>
          <w:rFonts w:ascii="Verdana" w:hAnsi="Verdana" w:cs="Arial"/>
          <w:color w:val="000000"/>
          <w:sz w:val="24"/>
          <w:szCs w:val="24"/>
        </w:rPr>
      </w:pPr>
      <w:r w:rsidRPr="00224519">
        <w:rPr>
          <w:rFonts w:ascii="Verdana" w:hAnsi="Verdana" w:cs="Arial"/>
          <w:color w:val="000000"/>
          <w:sz w:val="24"/>
          <w:szCs w:val="24"/>
        </w:rPr>
        <w:t>[Carried Forward from 2018/19] 95th percentile call to door times (STEMI &amp; Stroke) to reduce across each health board area</w:t>
      </w:r>
    </w:p>
    <w:p w:rsidR="00A90DFC" w:rsidRPr="00224519" w:rsidRDefault="00A90DFC" w:rsidP="00A90DFC">
      <w:pPr>
        <w:jc w:val="both"/>
        <w:rPr>
          <w:rFonts w:ascii="Verdana" w:hAnsi="Verdana" w:cs="Arial"/>
          <w:sz w:val="24"/>
          <w:szCs w:val="24"/>
        </w:rPr>
      </w:pPr>
    </w:p>
    <w:p w:rsidR="00A90DFC" w:rsidRPr="00224519" w:rsidRDefault="00A90DFC" w:rsidP="00A90DFC">
      <w:pPr>
        <w:pStyle w:val="ListParagraph"/>
        <w:numPr>
          <w:ilvl w:val="0"/>
          <w:numId w:val="4"/>
        </w:numPr>
        <w:jc w:val="both"/>
        <w:rPr>
          <w:rFonts w:ascii="Verdana" w:hAnsi="Verdana" w:cs="Arial"/>
          <w:sz w:val="24"/>
          <w:szCs w:val="24"/>
        </w:rPr>
      </w:pPr>
      <w:r w:rsidRPr="00224519">
        <w:rPr>
          <w:rFonts w:ascii="Verdana" w:hAnsi="Verdana" w:cs="Arial"/>
          <w:sz w:val="24"/>
          <w:szCs w:val="24"/>
        </w:rPr>
        <w:t xml:space="preserve">The fleet and staff mix has been reviewed as part of the Demand &amp; Capacity Review. The findings from the Review are now being fed into </w:t>
      </w:r>
      <w:r w:rsidRPr="00224519">
        <w:rPr>
          <w:rFonts w:ascii="Verdana" w:hAnsi="Verdana" w:cs="Arial"/>
          <w:sz w:val="24"/>
          <w:szCs w:val="24"/>
        </w:rPr>
        <w:lastRenderedPageBreak/>
        <w:t xml:space="preserve">the </w:t>
      </w:r>
      <w:r w:rsidR="00FC23A6" w:rsidRPr="00224519">
        <w:rPr>
          <w:rFonts w:ascii="Verdana" w:hAnsi="Verdana" w:cs="Arial"/>
          <w:sz w:val="24"/>
          <w:szCs w:val="24"/>
        </w:rPr>
        <w:t xml:space="preserve">Fleet Strategic Outline Plan and </w:t>
      </w:r>
      <w:r w:rsidRPr="00224519">
        <w:rPr>
          <w:rFonts w:ascii="Verdana" w:hAnsi="Verdana" w:cs="Arial"/>
          <w:sz w:val="24"/>
          <w:szCs w:val="24"/>
        </w:rPr>
        <w:t>Workforce Plan, as part of the implementation programme for the Review.</w:t>
      </w:r>
    </w:p>
    <w:p w:rsidR="00A90DFC" w:rsidRPr="00224519" w:rsidRDefault="00A90DFC" w:rsidP="00A90DFC">
      <w:pPr>
        <w:pStyle w:val="ListParagraph"/>
        <w:ind w:left="360"/>
        <w:jc w:val="both"/>
        <w:rPr>
          <w:rFonts w:ascii="Verdana" w:hAnsi="Verdana" w:cs="Arial"/>
          <w:sz w:val="24"/>
          <w:szCs w:val="24"/>
        </w:rPr>
      </w:pPr>
    </w:p>
    <w:p w:rsidR="00A90DFC" w:rsidRPr="00224519" w:rsidRDefault="00A90DFC" w:rsidP="00A90DFC">
      <w:pPr>
        <w:pStyle w:val="ListParagraph"/>
        <w:numPr>
          <w:ilvl w:val="0"/>
          <w:numId w:val="4"/>
        </w:numPr>
        <w:jc w:val="both"/>
        <w:rPr>
          <w:rFonts w:ascii="Verdana" w:hAnsi="Verdana" w:cs="Arial"/>
          <w:sz w:val="24"/>
          <w:szCs w:val="24"/>
        </w:rPr>
      </w:pPr>
      <w:r w:rsidRPr="00224519">
        <w:rPr>
          <w:rFonts w:ascii="Verdana" w:hAnsi="Verdana" w:cs="Arial"/>
          <w:sz w:val="24"/>
          <w:szCs w:val="24"/>
        </w:rPr>
        <w:t>WAST acknowledges that it has not completed a self-assessment against the core requirements. For 2020/21 it has been agreed that this will be annual, rather than twice a year, and will be supported by an agreed (between NCCU/WAST) improvement plan. A self-assessment will be</w:t>
      </w:r>
      <w:r w:rsidR="00FC23A6" w:rsidRPr="00224519">
        <w:rPr>
          <w:rFonts w:ascii="Verdana" w:hAnsi="Verdana" w:cs="Arial"/>
          <w:sz w:val="24"/>
          <w:szCs w:val="24"/>
        </w:rPr>
        <w:t xml:space="preserve"> completed in Quarter 4 2019/20: the NCCU and WAST have recently met to start this process.</w:t>
      </w:r>
    </w:p>
    <w:p w:rsidR="00A90DFC" w:rsidRPr="00224519" w:rsidRDefault="00A90DFC" w:rsidP="00A90DFC">
      <w:pPr>
        <w:pStyle w:val="ListParagraph"/>
        <w:rPr>
          <w:rFonts w:ascii="Verdana" w:hAnsi="Verdana" w:cs="Arial"/>
          <w:sz w:val="24"/>
          <w:szCs w:val="24"/>
        </w:rPr>
      </w:pPr>
    </w:p>
    <w:p w:rsidR="00A90DFC" w:rsidRPr="00224519" w:rsidRDefault="00A90DFC" w:rsidP="00A90DFC">
      <w:pPr>
        <w:pStyle w:val="ListParagraph"/>
        <w:numPr>
          <w:ilvl w:val="0"/>
          <w:numId w:val="4"/>
        </w:numPr>
        <w:jc w:val="both"/>
        <w:rPr>
          <w:rFonts w:ascii="Verdana" w:hAnsi="Verdana" w:cs="Arial"/>
          <w:sz w:val="24"/>
          <w:szCs w:val="24"/>
        </w:rPr>
      </w:pPr>
      <w:r w:rsidRPr="00224519">
        <w:rPr>
          <w:rFonts w:ascii="Verdana" w:hAnsi="Verdana" w:cs="Arial"/>
          <w:sz w:val="24"/>
          <w:szCs w:val="24"/>
        </w:rPr>
        <w:t>Call to door time indicators are currently being developed with the intention to start shadow reporting from Quarter 4 and full reporting from Quarter</w:t>
      </w:r>
      <w:r w:rsidR="00B678C2" w:rsidRPr="00224519">
        <w:rPr>
          <w:rFonts w:ascii="Verdana" w:hAnsi="Verdana" w:cs="Arial"/>
          <w:sz w:val="24"/>
          <w:szCs w:val="24"/>
        </w:rPr>
        <w:t xml:space="preserve"> 1 2020/21</w:t>
      </w:r>
      <w:r w:rsidRPr="00224519">
        <w:rPr>
          <w:rFonts w:ascii="Verdana" w:hAnsi="Verdana" w:cs="Arial"/>
          <w:sz w:val="24"/>
          <w:szCs w:val="24"/>
        </w:rPr>
        <w:t>.  Improved performance on these metrics will be dependent on the information provided from the initial baseline.</w:t>
      </w:r>
    </w:p>
    <w:p w:rsidR="00A90DFC" w:rsidRPr="00224519" w:rsidRDefault="00A90DFC" w:rsidP="00A90DFC">
      <w:pPr>
        <w:pStyle w:val="ListParagraph"/>
        <w:rPr>
          <w:rFonts w:ascii="Verdana" w:hAnsi="Verdana" w:cs="Arial"/>
          <w:sz w:val="24"/>
          <w:szCs w:val="24"/>
        </w:rPr>
      </w:pPr>
    </w:p>
    <w:p w:rsidR="00A90DFC" w:rsidRPr="00224519" w:rsidRDefault="00A90DFC" w:rsidP="00A90DFC">
      <w:pPr>
        <w:pStyle w:val="ListParagraph"/>
        <w:numPr>
          <w:ilvl w:val="0"/>
          <w:numId w:val="4"/>
        </w:numPr>
        <w:jc w:val="both"/>
        <w:rPr>
          <w:rFonts w:ascii="Verdana" w:hAnsi="Verdana" w:cs="Arial"/>
          <w:sz w:val="24"/>
          <w:szCs w:val="24"/>
        </w:rPr>
      </w:pPr>
      <w:r w:rsidRPr="00224519">
        <w:rPr>
          <w:rFonts w:ascii="Verdana" w:hAnsi="Verdana" w:cs="Arial"/>
          <w:sz w:val="24"/>
          <w:szCs w:val="24"/>
        </w:rPr>
        <w:t>The development of clinical indicators</w:t>
      </w:r>
      <w:r w:rsidR="007E49EF" w:rsidRPr="00224519">
        <w:rPr>
          <w:rFonts w:ascii="Verdana" w:hAnsi="Verdana" w:cs="Arial"/>
          <w:sz w:val="24"/>
          <w:szCs w:val="24"/>
        </w:rPr>
        <w:t xml:space="preserve"> for the Band 6 project have been delayed due to associated work on pathways and </w:t>
      </w:r>
      <w:r w:rsidR="0029398F" w:rsidRPr="00224519">
        <w:rPr>
          <w:rFonts w:ascii="Verdana" w:hAnsi="Verdana" w:cs="Arial"/>
          <w:sz w:val="24"/>
          <w:szCs w:val="24"/>
        </w:rPr>
        <w:t xml:space="preserve">capacity to progress. Two indicators have been agreed with the NCCU: COPD and non-cardiac chest pain.  </w:t>
      </w:r>
    </w:p>
    <w:p w:rsidR="006466AF" w:rsidRPr="00224519" w:rsidRDefault="006466AF" w:rsidP="00C60C5E">
      <w:pPr>
        <w:jc w:val="both"/>
        <w:rPr>
          <w:rFonts w:ascii="Verdana" w:hAnsi="Verdana" w:cs="Arial"/>
          <w:sz w:val="24"/>
          <w:szCs w:val="24"/>
        </w:rPr>
      </w:pPr>
    </w:p>
    <w:p w:rsidR="00B1221D" w:rsidRPr="00224519" w:rsidRDefault="00B1221D" w:rsidP="0017564E">
      <w:pPr>
        <w:pStyle w:val="ListParagraph"/>
        <w:numPr>
          <w:ilvl w:val="0"/>
          <w:numId w:val="27"/>
        </w:numPr>
        <w:jc w:val="both"/>
        <w:rPr>
          <w:rFonts w:ascii="Verdana" w:hAnsi="Verdana" w:cs="Arial"/>
          <w:sz w:val="24"/>
          <w:szCs w:val="24"/>
        </w:rPr>
      </w:pPr>
      <w:r w:rsidRPr="00224519">
        <w:rPr>
          <w:rFonts w:ascii="Verdana" w:hAnsi="Verdana" w:cs="Arial"/>
          <w:sz w:val="24"/>
          <w:szCs w:val="24"/>
        </w:rPr>
        <w:t>The NCCU Nov-19 report included the following summary of WAST’s progress on the NEPTS commissioning intentions:-</w:t>
      </w:r>
    </w:p>
    <w:p w:rsidR="00B1221D" w:rsidRPr="00224519" w:rsidRDefault="00B1221D" w:rsidP="00B1221D">
      <w:pPr>
        <w:jc w:val="both"/>
        <w:rPr>
          <w:rFonts w:ascii="Verdana" w:hAnsi="Verdana" w:cs="Arial"/>
          <w:sz w:val="24"/>
          <w:szCs w:val="24"/>
          <w:u w:val="single"/>
        </w:rPr>
      </w:pPr>
    </w:p>
    <w:tbl>
      <w:tblPr>
        <w:tblW w:w="9724" w:type="dxa"/>
        <w:tblLook w:val="04A0" w:firstRow="1" w:lastRow="0" w:firstColumn="1" w:lastColumn="0" w:noHBand="0" w:noVBand="1"/>
      </w:tblPr>
      <w:tblGrid>
        <w:gridCol w:w="1540"/>
        <w:gridCol w:w="1796"/>
        <w:gridCol w:w="1567"/>
        <w:gridCol w:w="1206"/>
        <w:gridCol w:w="222"/>
        <w:gridCol w:w="1063"/>
        <w:gridCol w:w="1168"/>
        <w:gridCol w:w="1196"/>
      </w:tblGrid>
      <w:tr w:rsidR="00B1221D" w:rsidRPr="00224519" w:rsidTr="009E2067">
        <w:trPr>
          <w:trHeight w:val="290"/>
        </w:trPr>
        <w:tc>
          <w:tcPr>
            <w:tcW w:w="1525" w:type="dxa"/>
            <w:tcBorders>
              <w:top w:val="nil"/>
              <w:left w:val="nil"/>
              <w:bottom w:val="nil"/>
              <w:right w:val="nil"/>
            </w:tcBorders>
            <w:shd w:val="clear" w:color="DDEBF7" w:fill="DDEBF7"/>
            <w:noWrap/>
            <w:vAlign w:val="bottom"/>
            <w:hideMark/>
          </w:tcPr>
          <w:p w:rsidR="00B1221D" w:rsidRPr="00224519" w:rsidRDefault="00C62F7A" w:rsidP="009E2067">
            <w:pPr>
              <w:rPr>
                <w:rFonts w:ascii="Verdana" w:hAnsi="Verdana" w:cs="Calibri"/>
                <w:b/>
                <w:bCs/>
                <w:color w:val="000000"/>
                <w:sz w:val="18"/>
                <w:szCs w:val="24"/>
                <w:lang w:eastAsia="en-GB"/>
              </w:rPr>
            </w:pPr>
            <w:r w:rsidRPr="00224519">
              <w:rPr>
                <w:rFonts w:ascii="Verdana" w:hAnsi="Verdana" w:cs="Calibri"/>
                <w:b/>
                <w:bCs/>
                <w:color w:val="000000"/>
                <w:sz w:val="18"/>
                <w:szCs w:val="24"/>
                <w:lang w:eastAsia="en-GB"/>
              </w:rPr>
              <w:t>NEPTS</w:t>
            </w:r>
          </w:p>
        </w:tc>
        <w:tc>
          <w:tcPr>
            <w:tcW w:w="1796" w:type="dxa"/>
            <w:tcBorders>
              <w:top w:val="nil"/>
              <w:left w:val="nil"/>
              <w:bottom w:val="nil"/>
              <w:right w:val="nil"/>
            </w:tcBorders>
            <w:shd w:val="clear" w:color="DDEBF7" w:fill="DDEBF7"/>
            <w:noWrap/>
            <w:vAlign w:val="bottom"/>
            <w:hideMark/>
          </w:tcPr>
          <w:p w:rsidR="00B1221D" w:rsidRPr="00224519" w:rsidRDefault="00B1221D" w:rsidP="009E2067">
            <w:pPr>
              <w:rPr>
                <w:rFonts w:ascii="Verdana" w:hAnsi="Verdana" w:cs="Calibri"/>
                <w:b/>
                <w:bCs/>
                <w:color w:val="DDEBF7"/>
                <w:sz w:val="18"/>
                <w:szCs w:val="24"/>
                <w:lang w:eastAsia="en-GB"/>
              </w:rPr>
            </w:pPr>
            <w:r w:rsidRPr="00224519">
              <w:rPr>
                <w:rFonts w:ascii="Verdana" w:hAnsi="Verdana" w:cs="Calibri"/>
                <w:b/>
                <w:bCs/>
                <w:color w:val="DDEBF7"/>
                <w:sz w:val="18"/>
                <w:szCs w:val="24"/>
                <w:lang w:eastAsia="en-GB"/>
              </w:rPr>
              <w:t>Column Labels</w:t>
            </w:r>
          </w:p>
        </w:tc>
        <w:tc>
          <w:tcPr>
            <w:tcW w:w="1457" w:type="dxa"/>
            <w:tcBorders>
              <w:top w:val="nil"/>
              <w:left w:val="nil"/>
              <w:bottom w:val="nil"/>
              <w:right w:val="nil"/>
            </w:tcBorders>
            <w:shd w:val="clear" w:color="DDEBF7" w:fill="DDEBF7"/>
            <w:noWrap/>
            <w:vAlign w:val="bottom"/>
            <w:hideMark/>
          </w:tcPr>
          <w:p w:rsidR="00B1221D" w:rsidRPr="00224519" w:rsidRDefault="00B1221D" w:rsidP="009E2067">
            <w:pPr>
              <w:rPr>
                <w:rFonts w:ascii="Verdana" w:hAnsi="Verdana" w:cs="Calibri"/>
                <w:b/>
                <w:bCs/>
                <w:color w:val="DDEBF7"/>
                <w:sz w:val="18"/>
                <w:szCs w:val="24"/>
                <w:lang w:eastAsia="en-GB"/>
              </w:rPr>
            </w:pPr>
          </w:p>
        </w:tc>
        <w:tc>
          <w:tcPr>
            <w:tcW w:w="1102" w:type="dxa"/>
            <w:tcBorders>
              <w:top w:val="nil"/>
              <w:left w:val="nil"/>
              <w:bottom w:val="nil"/>
              <w:right w:val="nil"/>
            </w:tcBorders>
            <w:shd w:val="clear" w:color="DDEBF7" w:fill="DDEBF7"/>
            <w:noWrap/>
            <w:vAlign w:val="bottom"/>
            <w:hideMark/>
          </w:tcPr>
          <w:p w:rsidR="00B1221D" w:rsidRPr="00224519" w:rsidRDefault="00B1221D" w:rsidP="009E2067">
            <w:pPr>
              <w:rPr>
                <w:rFonts w:ascii="Verdana" w:hAnsi="Verdana"/>
                <w:sz w:val="18"/>
                <w:szCs w:val="24"/>
                <w:lang w:eastAsia="en-GB"/>
              </w:rPr>
            </w:pPr>
          </w:p>
        </w:tc>
        <w:tc>
          <w:tcPr>
            <w:tcW w:w="550" w:type="dxa"/>
            <w:tcBorders>
              <w:top w:val="nil"/>
              <w:left w:val="nil"/>
              <w:bottom w:val="nil"/>
              <w:right w:val="nil"/>
            </w:tcBorders>
            <w:shd w:val="clear" w:color="DDEBF7" w:fill="DDEBF7"/>
          </w:tcPr>
          <w:p w:rsidR="00B1221D" w:rsidRPr="00224519" w:rsidRDefault="00B1221D" w:rsidP="009E2067">
            <w:pPr>
              <w:rPr>
                <w:rFonts w:ascii="Verdana" w:hAnsi="Verdana"/>
                <w:sz w:val="18"/>
                <w:szCs w:val="24"/>
                <w:lang w:eastAsia="en-GB"/>
              </w:rPr>
            </w:pPr>
          </w:p>
        </w:tc>
        <w:tc>
          <w:tcPr>
            <w:tcW w:w="996" w:type="dxa"/>
            <w:tcBorders>
              <w:top w:val="nil"/>
              <w:left w:val="nil"/>
              <w:bottom w:val="nil"/>
              <w:right w:val="nil"/>
            </w:tcBorders>
            <w:shd w:val="clear" w:color="DDEBF7" w:fill="DDEBF7"/>
            <w:noWrap/>
            <w:vAlign w:val="bottom"/>
            <w:hideMark/>
          </w:tcPr>
          <w:p w:rsidR="00B1221D" w:rsidRPr="00224519" w:rsidRDefault="00B1221D" w:rsidP="009E2067">
            <w:pPr>
              <w:rPr>
                <w:rFonts w:ascii="Verdana" w:hAnsi="Verdana"/>
                <w:sz w:val="18"/>
                <w:szCs w:val="24"/>
                <w:lang w:eastAsia="en-GB"/>
              </w:rPr>
            </w:pPr>
          </w:p>
        </w:tc>
        <w:tc>
          <w:tcPr>
            <w:tcW w:w="1102" w:type="dxa"/>
            <w:tcBorders>
              <w:top w:val="nil"/>
              <w:left w:val="nil"/>
              <w:bottom w:val="nil"/>
              <w:right w:val="nil"/>
            </w:tcBorders>
            <w:shd w:val="clear" w:color="DDEBF7" w:fill="DDEBF7"/>
            <w:noWrap/>
            <w:vAlign w:val="bottom"/>
            <w:hideMark/>
          </w:tcPr>
          <w:p w:rsidR="00B1221D" w:rsidRPr="00224519" w:rsidRDefault="00B1221D" w:rsidP="009E2067">
            <w:pPr>
              <w:rPr>
                <w:rFonts w:ascii="Verdana" w:hAnsi="Verdana"/>
                <w:sz w:val="18"/>
                <w:szCs w:val="24"/>
                <w:lang w:eastAsia="en-GB"/>
              </w:rPr>
            </w:pPr>
          </w:p>
        </w:tc>
        <w:tc>
          <w:tcPr>
            <w:tcW w:w="1196" w:type="dxa"/>
            <w:tcBorders>
              <w:top w:val="nil"/>
              <w:left w:val="nil"/>
              <w:bottom w:val="nil"/>
              <w:right w:val="nil"/>
            </w:tcBorders>
            <w:shd w:val="clear" w:color="DDEBF7" w:fill="DDEBF7"/>
            <w:noWrap/>
            <w:vAlign w:val="bottom"/>
            <w:hideMark/>
          </w:tcPr>
          <w:p w:rsidR="00B1221D" w:rsidRPr="00224519" w:rsidRDefault="00B1221D" w:rsidP="009E2067">
            <w:pPr>
              <w:rPr>
                <w:rFonts w:ascii="Verdana" w:hAnsi="Verdana"/>
                <w:sz w:val="18"/>
                <w:szCs w:val="24"/>
                <w:lang w:eastAsia="en-GB"/>
              </w:rPr>
            </w:pPr>
          </w:p>
        </w:tc>
      </w:tr>
      <w:tr w:rsidR="00B1221D" w:rsidRPr="00224519" w:rsidTr="009E2067">
        <w:trPr>
          <w:trHeight w:val="290"/>
        </w:trPr>
        <w:tc>
          <w:tcPr>
            <w:tcW w:w="1525" w:type="dxa"/>
            <w:tcBorders>
              <w:top w:val="nil"/>
              <w:left w:val="nil"/>
              <w:bottom w:val="single" w:sz="4" w:space="0" w:color="9BC2E6"/>
              <w:right w:val="nil"/>
            </w:tcBorders>
            <w:shd w:val="clear" w:color="DDEBF7" w:fill="DDEBF7"/>
            <w:noWrap/>
            <w:vAlign w:val="bottom"/>
            <w:hideMark/>
          </w:tcPr>
          <w:p w:rsidR="00B1221D" w:rsidRPr="00224519" w:rsidRDefault="00B1221D" w:rsidP="009E2067">
            <w:pPr>
              <w:rPr>
                <w:rFonts w:ascii="Verdana" w:hAnsi="Verdana" w:cs="Calibri"/>
                <w:b/>
                <w:bCs/>
                <w:color w:val="DDEBF7"/>
                <w:sz w:val="18"/>
                <w:szCs w:val="24"/>
                <w:lang w:eastAsia="en-GB"/>
              </w:rPr>
            </w:pPr>
            <w:r w:rsidRPr="00224519">
              <w:rPr>
                <w:rFonts w:ascii="Verdana" w:hAnsi="Verdana" w:cs="Calibri"/>
                <w:b/>
                <w:bCs/>
                <w:color w:val="DDEBF7"/>
                <w:sz w:val="18"/>
                <w:szCs w:val="24"/>
                <w:lang w:eastAsia="en-GB"/>
              </w:rPr>
              <w:t>Row Labels</w:t>
            </w:r>
          </w:p>
        </w:tc>
        <w:tc>
          <w:tcPr>
            <w:tcW w:w="1796" w:type="dxa"/>
            <w:tcBorders>
              <w:top w:val="nil"/>
              <w:left w:val="nil"/>
              <w:bottom w:val="single" w:sz="4" w:space="0" w:color="9BC2E6"/>
              <w:right w:val="nil"/>
            </w:tcBorders>
            <w:shd w:val="clear" w:color="DDEBF7" w:fill="DDEBF7"/>
            <w:noWrap/>
            <w:vAlign w:val="bottom"/>
            <w:hideMark/>
          </w:tcPr>
          <w:p w:rsidR="00B1221D" w:rsidRPr="00224519" w:rsidRDefault="00B1221D" w:rsidP="009E2067">
            <w:pPr>
              <w:rPr>
                <w:rFonts w:ascii="Verdana" w:hAnsi="Verdana" w:cs="Calibri"/>
                <w:b/>
                <w:bCs/>
                <w:color w:val="000000"/>
                <w:sz w:val="18"/>
                <w:szCs w:val="24"/>
                <w:lang w:eastAsia="en-GB"/>
              </w:rPr>
            </w:pPr>
            <w:r w:rsidRPr="00224519">
              <w:rPr>
                <w:rFonts w:ascii="Verdana" w:hAnsi="Verdana" w:cs="Calibri"/>
                <w:b/>
                <w:bCs/>
                <w:color w:val="000000"/>
                <w:sz w:val="18"/>
                <w:szCs w:val="24"/>
                <w:lang w:eastAsia="en-GB"/>
              </w:rPr>
              <w:t>Completed</w:t>
            </w:r>
          </w:p>
        </w:tc>
        <w:tc>
          <w:tcPr>
            <w:tcW w:w="1457" w:type="dxa"/>
            <w:tcBorders>
              <w:top w:val="nil"/>
              <w:left w:val="nil"/>
              <w:bottom w:val="single" w:sz="4" w:space="0" w:color="9BC2E6"/>
              <w:right w:val="nil"/>
            </w:tcBorders>
            <w:shd w:val="clear" w:color="DDEBF7" w:fill="DDEBF7"/>
            <w:noWrap/>
            <w:vAlign w:val="bottom"/>
            <w:hideMark/>
          </w:tcPr>
          <w:p w:rsidR="00B1221D" w:rsidRPr="00224519" w:rsidRDefault="00B1221D" w:rsidP="009E2067">
            <w:pPr>
              <w:rPr>
                <w:rFonts w:ascii="Verdana" w:hAnsi="Verdana" w:cs="Calibri"/>
                <w:b/>
                <w:bCs/>
                <w:color w:val="000000"/>
                <w:sz w:val="18"/>
                <w:szCs w:val="24"/>
                <w:lang w:eastAsia="en-GB"/>
              </w:rPr>
            </w:pPr>
            <w:r w:rsidRPr="00224519">
              <w:rPr>
                <w:rFonts w:ascii="Verdana" w:hAnsi="Verdana" w:cs="Calibri"/>
                <w:b/>
                <w:bCs/>
                <w:color w:val="000000"/>
                <w:sz w:val="18"/>
                <w:szCs w:val="24"/>
                <w:lang w:eastAsia="en-GB"/>
              </w:rPr>
              <w:t>Deterioration</w:t>
            </w:r>
          </w:p>
        </w:tc>
        <w:tc>
          <w:tcPr>
            <w:tcW w:w="1102" w:type="dxa"/>
            <w:tcBorders>
              <w:top w:val="nil"/>
              <w:left w:val="nil"/>
              <w:bottom w:val="single" w:sz="4" w:space="0" w:color="9BC2E6"/>
              <w:right w:val="nil"/>
            </w:tcBorders>
            <w:shd w:val="clear" w:color="DDEBF7" w:fill="DDEBF7"/>
            <w:noWrap/>
            <w:vAlign w:val="bottom"/>
            <w:hideMark/>
          </w:tcPr>
          <w:p w:rsidR="00B1221D" w:rsidRPr="00224519" w:rsidRDefault="00B1221D" w:rsidP="009E2067">
            <w:pPr>
              <w:rPr>
                <w:rFonts w:ascii="Verdana" w:hAnsi="Verdana" w:cs="Calibri"/>
                <w:b/>
                <w:bCs/>
                <w:color w:val="000000"/>
                <w:sz w:val="18"/>
                <w:szCs w:val="24"/>
                <w:lang w:eastAsia="en-GB"/>
              </w:rPr>
            </w:pPr>
            <w:r w:rsidRPr="00224519">
              <w:rPr>
                <w:rFonts w:ascii="Verdana" w:hAnsi="Verdana" w:cs="Calibri"/>
                <w:b/>
                <w:bCs/>
                <w:color w:val="000000"/>
                <w:sz w:val="18"/>
                <w:szCs w:val="24"/>
                <w:lang w:eastAsia="en-GB"/>
              </w:rPr>
              <w:t>Improved</w:t>
            </w:r>
          </w:p>
        </w:tc>
        <w:tc>
          <w:tcPr>
            <w:tcW w:w="550" w:type="dxa"/>
            <w:tcBorders>
              <w:top w:val="nil"/>
              <w:left w:val="nil"/>
              <w:bottom w:val="single" w:sz="4" w:space="0" w:color="9BC2E6"/>
              <w:right w:val="nil"/>
            </w:tcBorders>
            <w:shd w:val="clear" w:color="DDEBF7" w:fill="DDEBF7"/>
          </w:tcPr>
          <w:p w:rsidR="00B1221D" w:rsidRPr="00224519" w:rsidRDefault="00B1221D" w:rsidP="009E2067">
            <w:pPr>
              <w:rPr>
                <w:rFonts w:ascii="Verdana" w:hAnsi="Verdana" w:cs="Calibri"/>
                <w:b/>
                <w:bCs/>
                <w:color w:val="000000"/>
                <w:sz w:val="18"/>
                <w:szCs w:val="24"/>
                <w:lang w:eastAsia="en-GB"/>
              </w:rPr>
            </w:pPr>
          </w:p>
        </w:tc>
        <w:tc>
          <w:tcPr>
            <w:tcW w:w="996" w:type="dxa"/>
            <w:tcBorders>
              <w:top w:val="nil"/>
              <w:left w:val="nil"/>
              <w:bottom w:val="single" w:sz="4" w:space="0" w:color="9BC2E6"/>
              <w:right w:val="nil"/>
            </w:tcBorders>
            <w:shd w:val="clear" w:color="DDEBF7" w:fill="DDEBF7"/>
            <w:noWrap/>
            <w:vAlign w:val="bottom"/>
            <w:hideMark/>
          </w:tcPr>
          <w:p w:rsidR="00B1221D" w:rsidRPr="00224519" w:rsidRDefault="00B1221D" w:rsidP="009E2067">
            <w:pPr>
              <w:rPr>
                <w:rFonts w:ascii="Verdana" w:hAnsi="Verdana" w:cs="Calibri"/>
                <w:b/>
                <w:bCs/>
                <w:color w:val="000000"/>
                <w:sz w:val="18"/>
                <w:szCs w:val="24"/>
                <w:lang w:eastAsia="en-GB"/>
              </w:rPr>
            </w:pPr>
            <w:r w:rsidRPr="00224519">
              <w:rPr>
                <w:rFonts w:ascii="Verdana" w:hAnsi="Verdana" w:cs="Calibri"/>
                <w:b/>
                <w:bCs/>
                <w:color w:val="000000"/>
                <w:sz w:val="18"/>
                <w:szCs w:val="24"/>
                <w:lang w:eastAsia="en-GB"/>
              </w:rPr>
              <w:t>Ongoing</w:t>
            </w:r>
          </w:p>
        </w:tc>
        <w:tc>
          <w:tcPr>
            <w:tcW w:w="1102" w:type="dxa"/>
            <w:tcBorders>
              <w:top w:val="nil"/>
              <w:left w:val="nil"/>
              <w:bottom w:val="single" w:sz="4" w:space="0" w:color="9BC2E6"/>
              <w:right w:val="nil"/>
            </w:tcBorders>
            <w:shd w:val="clear" w:color="DDEBF7" w:fill="DDEBF7"/>
            <w:noWrap/>
            <w:vAlign w:val="bottom"/>
            <w:hideMark/>
          </w:tcPr>
          <w:p w:rsidR="00B1221D" w:rsidRPr="00224519" w:rsidRDefault="00B1221D" w:rsidP="009E2067">
            <w:pPr>
              <w:rPr>
                <w:rFonts w:ascii="Verdana" w:hAnsi="Verdana" w:cs="Calibri"/>
                <w:b/>
                <w:bCs/>
                <w:color w:val="000000"/>
                <w:sz w:val="18"/>
                <w:szCs w:val="24"/>
                <w:lang w:eastAsia="en-GB"/>
              </w:rPr>
            </w:pPr>
            <w:r w:rsidRPr="00224519">
              <w:rPr>
                <w:rFonts w:ascii="Verdana" w:hAnsi="Verdana" w:cs="Calibri"/>
                <w:b/>
                <w:bCs/>
                <w:color w:val="000000"/>
                <w:sz w:val="18"/>
                <w:szCs w:val="24"/>
                <w:lang w:eastAsia="en-GB"/>
              </w:rPr>
              <w:t>Unknown</w:t>
            </w:r>
          </w:p>
        </w:tc>
        <w:tc>
          <w:tcPr>
            <w:tcW w:w="1196" w:type="dxa"/>
            <w:tcBorders>
              <w:top w:val="nil"/>
              <w:left w:val="nil"/>
              <w:bottom w:val="single" w:sz="4" w:space="0" w:color="9BC2E6"/>
              <w:right w:val="nil"/>
            </w:tcBorders>
            <w:shd w:val="clear" w:color="DDEBF7" w:fill="DDEBF7"/>
            <w:noWrap/>
            <w:vAlign w:val="bottom"/>
            <w:hideMark/>
          </w:tcPr>
          <w:p w:rsidR="00B1221D" w:rsidRPr="00224519" w:rsidRDefault="00B1221D" w:rsidP="009E2067">
            <w:pPr>
              <w:rPr>
                <w:rFonts w:ascii="Verdana" w:hAnsi="Verdana" w:cs="Calibri"/>
                <w:b/>
                <w:bCs/>
                <w:color w:val="000000"/>
                <w:sz w:val="18"/>
                <w:szCs w:val="24"/>
                <w:lang w:eastAsia="en-GB"/>
              </w:rPr>
            </w:pPr>
            <w:r w:rsidRPr="00224519">
              <w:rPr>
                <w:rFonts w:ascii="Verdana" w:hAnsi="Verdana" w:cs="Calibri"/>
                <w:b/>
                <w:bCs/>
                <w:color w:val="000000"/>
                <w:sz w:val="18"/>
                <w:szCs w:val="24"/>
                <w:lang w:eastAsia="en-GB"/>
              </w:rPr>
              <w:t>Grand Total</w:t>
            </w:r>
          </w:p>
        </w:tc>
      </w:tr>
      <w:tr w:rsidR="00B1221D" w:rsidRPr="00224519" w:rsidTr="009E2067">
        <w:trPr>
          <w:trHeight w:val="290"/>
        </w:trPr>
        <w:tc>
          <w:tcPr>
            <w:tcW w:w="1525" w:type="dxa"/>
            <w:tcBorders>
              <w:top w:val="nil"/>
              <w:left w:val="nil"/>
              <w:bottom w:val="nil"/>
              <w:right w:val="nil"/>
            </w:tcBorders>
            <w:shd w:val="clear" w:color="auto" w:fill="auto"/>
            <w:noWrap/>
            <w:vAlign w:val="bottom"/>
            <w:hideMark/>
          </w:tcPr>
          <w:p w:rsidR="00B1221D" w:rsidRPr="00224519" w:rsidRDefault="00B1221D" w:rsidP="009E2067">
            <w:pPr>
              <w:rPr>
                <w:rFonts w:ascii="Verdana" w:hAnsi="Verdana" w:cs="Calibri"/>
                <w:color w:val="000000"/>
                <w:sz w:val="18"/>
                <w:szCs w:val="24"/>
                <w:lang w:eastAsia="en-GB"/>
              </w:rPr>
            </w:pPr>
            <w:r w:rsidRPr="00224519">
              <w:rPr>
                <w:rFonts w:ascii="Verdana" w:hAnsi="Verdana" w:cs="Calibri"/>
                <w:color w:val="000000"/>
                <w:sz w:val="18"/>
                <w:szCs w:val="24"/>
                <w:lang w:eastAsia="en-GB"/>
              </w:rPr>
              <w:t>Framework Improvements</w:t>
            </w:r>
          </w:p>
        </w:tc>
        <w:tc>
          <w:tcPr>
            <w:tcW w:w="1796" w:type="dxa"/>
            <w:tcBorders>
              <w:top w:val="nil"/>
              <w:left w:val="nil"/>
              <w:bottom w:val="nil"/>
              <w:right w:val="nil"/>
            </w:tcBorders>
            <w:shd w:val="clear" w:color="auto" w:fill="auto"/>
            <w:noWrap/>
            <w:vAlign w:val="bottom"/>
            <w:hideMark/>
          </w:tcPr>
          <w:p w:rsidR="00B1221D" w:rsidRPr="00224519" w:rsidRDefault="00E00A46" w:rsidP="009E2067">
            <w:pPr>
              <w:jc w:val="right"/>
              <w:rPr>
                <w:rFonts w:ascii="Verdana" w:hAnsi="Verdana" w:cs="Calibri"/>
                <w:color w:val="000000"/>
                <w:sz w:val="18"/>
                <w:szCs w:val="24"/>
                <w:lang w:eastAsia="en-GB"/>
              </w:rPr>
            </w:pPr>
            <w:r w:rsidRPr="00224519">
              <w:rPr>
                <w:rFonts w:ascii="Verdana" w:hAnsi="Verdana" w:cs="Calibri"/>
                <w:color w:val="000000"/>
                <w:sz w:val="18"/>
                <w:szCs w:val="24"/>
                <w:lang w:eastAsia="en-GB"/>
              </w:rPr>
              <w:t>4</w:t>
            </w:r>
          </w:p>
        </w:tc>
        <w:tc>
          <w:tcPr>
            <w:tcW w:w="1457" w:type="dxa"/>
            <w:tcBorders>
              <w:top w:val="nil"/>
              <w:left w:val="nil"/>
              <w:bottom w:val="nil"/>
              <w:right w:val="nil"/>
            </w:tcBorders>
            <w:shd w:val="clear" w:color="auto" w:fill="auto"/>
            <w:noWrap/>
            <w:vAlign w:val="bottom"/>
            <w:hideMark/>
          </w:tcPr>
          <w:p w:rsidR="00B1221D" w:rsidRPr="00224519" w:rsidRDefault="00E00A46" w:rsidP="009E2067">
            <w:pPr>
              <w:jc w:val="right"/>
              <w:rPr>
                <w:rFonts w:ascii="Verdana" w:hAnsi="Verdana" w:cs="Calibri"/>
                <w:color w:val="000000"/>
                <w:sz w:val="18"/>
                <w:szCs w:val="24"/>
                <w:lang w:eastAsia="en-GB"/>
              </w:rPr>
            </w:pPr>
            <w:r w:rsidRPr="00224519">
              <w:rPr>
                <w:rFonts w:ascii="Verdana" w:hAnsi="Verdana" w:cs="Calibri"/>
                <w:color w:val="000000"/>
                <w:sz w:val="18"/>
                <w:szCs w:val="24"/>
                <w:lang w:eastAsia="en-GB"/>
              </w:rPr>
              <w:t>0</w:t>
            </w:r>
          </w:p>
        </w:tc>
        <w:tc>
          <w:tcPr>
            <w:tcW w:w="1102" w:type="dxa"/>
            <w:tcBorders>
              <w:top w:val="nil"/>
              <w:left w:val="nil"/>
              <w:bottom w:val="nil"/>
              <w:right w:val="nil"/>
            </w:tcBorders>
            <w:shd w:val="clear" w:color="auto" w:fill="auto"/>
            <w:noWrap/>
            <w:vAlign w:val="bottom"/>
            <w:hideMark/>
          </w:tcPr>
          <w:p w:rsidR="00B1221D" w:rsidRPr="00224519" w:rsidRDefault="00E00A46" w:rsidP="009E2067">
            <w:pPr>
              <w:jc w:val="right"/>
              <w:rPr>
                <w:rFonts w:ascii="Verdana" w:hAnsi="Verdana" w:cs="Calibri"/>
                <w:color w:val="000000"/>
                <w:sz w:val="18"/>
                <w:szCs w:val="24"/>
                <w:lang w:eastAsia="en-GB"/>
              </w:rPr>
            </w:pPr>
            <w:r w:rsidRPr="00224519">
              <w:rPr>
                <w:rFonts w:ascii="Verdana" w:hAnsi="Verdana" w:cs="Calibri"/>
                <w:color w:val="000000"/>
                <w:sz w:val="18"/>
                <w:szCs w:val="24"/>
                <w:lang w:eastAsia="en-GB"/>
              </w:rPr>
              <w:t>2</w:t>
            </w:r>
          </w:p>
        </w:tc>
        <w:tc>
          <w:tcPr>
            <w:tcW w:w="550" w:type="dxa"/>
            <w:tcBorders>
              <w:top w:val="nil"/>
              <w:left w:val="nil"/>
              <w:bottom w:val="nil"/>
              <w:right w:val="nil"/>
            </w:tcBorders>
          </w:tcPr>
          <w:p w:rsidR="00B1221D" w:rsidRPr="00224519" w:rsidRDefault="00B1221D" w:rsidP="009E2067">
            <w:pPr>
              <w:jc w:val="right"/>
              <w:rPr>
                <w:rFonts w:ascii="Verdana" w:hAnsi="Verdana" w:cs="Calibri"/>
                <w:color w:val="000000"/>
                <w:sz w:val="18"/>
                <w:szCs w:val="24"/>
                <w:lang w:eastAsia="en-GB"/>
              </w:rPr>
            </w:pPr>
          </w:p>
        </w:tc>
        <w:tc>
          <w:tcPr>
            <w:tcW w:w="996" w:type="dxa"/>
            <w:tcBorders>
              <w:top w:val="nil"/>
              <w:left w:val="nil"/>
              <w:bottom w:val="nil"/>
              <w:right w:val="nil"/>
            </w:tcBorders>
            <w:shd w:val="clear" w:color="auto" w:fill="auto"/>
            <w:noWrap/>
            <w:vAlign w:val="bottom"/>
            <w:hideMark/>
          </w:tcPr>
          <w:p w:rsidR="00B1221D" w:rsidRPr="00224519" w:rsidRDefault="00E00A46" w:rsidP="009E2067">
            <w:pPr>
              <w:jc w:val="right"/>
              <w:rPr>
                <w:rFonts w:ascii="Verdana" w:hAnsi="Verdana" w:cs="Calibri"/>
                <w:color w:val="000000"/>
                <w:sz w:val="18"/>
                <w:szCs w:val="24"/>
                <w:lang w:eastAsia="en-GB"/>
              </w:rPr>
            </w:pPr>
            <w:r w:rsidRPr="00224519">
              <w:rPr>
                <w:rFonts w:ascii="Verdana" w:hAnsi="Verdana" w:cs="Calibri"/>
                <w:color w:val="000000"/>
                <w:sz w:val="18"/>
                <w:szCs w:val="24"/>
                <w:lang w:eastAsia="en-GB"/>
              </w:rPr>
              <w:t>9</w:t>
            </w:r>
          </w:p>
        </w:tc>
        <w:tc>
          <w:tcPr>
            <w:tcW w:w="1102" w:type="dxa"/>
            <w:tcBorders>
              <w:top w:val="nil"/>
              <w:left w:val="nil"/>
              <w:bottom w:val="nil"/>
              <w:right w:val="nil"/>
            </w:tcBorders>
            <w:shd w:val="clear" w:color="auto" w:fill="auto"/>
            <w:noWrap/>
            <w:vAlign w:val="bottom"/>
            <w:hideMark/>
          </w:tcPr>
          <w:p w:rsidR="00B1221D" w:rsidRPr="00224519" w:rsidRDefault="00E00A46" w:rsidP="009E2067">
            <w:pPr>
              <w:jc w:val="right"/>
              <w:rPr>
                <w:rFonts w:ascii="Verdana" w:hAnsi="Verdana" w:cs="Calibri"/>
                <w:color w:val="000000"/>
                <w:sz w:val="18"/>
                <w:szCs w:val="24"/>
                <w:lang w:eastAsia="en-GB"/>
              </w:rPr>
            </w:pPr>
            <w:r w:rsidRPr="00224519">
              <w:rPr>
                <w:rFonts w:ascii="Verdana" w:hAnsi="Verdana" w:cs="Calibri"/>
                <w:color w:val="000000"/>
                <w:sz w:val="18"/>
                <w:szCs w:val="24"/>
                <w:lang w:eastAsia="en-GB"/>
              </w:rPr>
              <w:t>4</w:t>
            </w:r>
          </w:p>
        </w:tc>
        <w:tc>
          <w:tcPr>
            <w:tcW w:w="1196" w:type="dxa"/>
            <w:tcBorders>
              <w:top w:val="nil"/>
              <w:left w:val="nil"/>
              <w:bottom w:val="nil"/>
              <w:right w:val="nil"/>
            </w:tcBorders>
            <w:shd w:val="clear" w:color="auto" w:fill="auto"/>
            <w:noWrap/>
            <w:vAlign w:val="bottom"/>
            <w:hideMark/>
          </w:tcPr>
          <w:p w:rsidR="00B1221D" w:rsidRPr="00224519" w:rsidRDefault="00E8391A" w:rsidP="009E2067">
            <w:pPr>
              <w:jc w:val="right"/>
              <w:rPr>
                <w:rFonts w:ascii="Verdana" w:hAnsi="Verdana" w:cs="Calibri"/>
                <w:color w:val="000000"/>
                <w:sz w:val="18"/>
                <w:szCs w:val="24"/>
                <w:lang w:eastAsia="en-GB"/>
              </w:rPr>
            </w:pPr>
            <w:r w:rsidRPr="00224519">
              <w:rPr>
                <w:rFonts w:ascii="Verdana" w:hAnsi="Verdana" w:cs="Calibri"/>
                <w:color w:val="000000"/>
                <w:sz w:val="18"/>
                <w:szCs w:val="24"/>
                <w:lang w:eastAsia="en-GB"/>
              </w:rPr>
              <w:t>19</w:t>
            </w:r>
          </w:p>
        </w:tc>
      </w:tr>
      <w:tr w:rsidR="00B1221D" w:rsidRPr="00224519" w:rsidTr="009E2067">
        <w:trPr>
          <w:trHeight w:val="290"/>
        </w:trPr>
        <w:tc>
          <w:tcPr>
            <w:tcW w:w="1525" w:type="dxa"/>
            <w:tcBorders>
              <w:top w:val="nil"/>
              <w:left w:val="nil"/>
              <w:bottom w:val="nil"/>
              <w:right w:val="nil"/>
            </w:tcBorders>
            <w:shd w:val="clear" w:color="auto" w:fill="auto"/>
            <w:noWrap/>
            <w:vAlign w:val="bottom"/>
            <w:hideMark/>
          </w:tcPr>
          <w:p w:rsidR="00B1221D" w:rsidRPr="00224519" w:rsidRDefault="00B1221D" w:rsidP="009E2067">
            <w:pPr>
              <w:rPr>
                <w:rFonts w:ascii="Verdana" w:hAnsi="Verdana" w:cs="Calibri"/>
                <w:color w:val="000000"/>
                <w:sz w:val="18"/>
                <w:szCs w:val="24"/>
                <w:lang w:eastAsia="en-GB"/>
              </w:rPr>
            </w:pPr>
            <w:r w:rsidRPr="00224519">
              <w:rPr>
                <w:rFonts w:ascii="Verdana" w:hAnsi="Verdana" w:cs="Calibri"/>
                <w:color w:val="000000"/>
                <w:sz w:val="18"/>
                <w:szCs w:val="24"/>
                <w:lang w:eastAsia="en-GB"/>
              </w:rPr>
              <w:t>WAST Performance Improvements</w:t>
            </w:r>
          </w:p>
        </w:tc>
        <w:tc>
          <w:tcPr>
            <w:tcW w:w="1796" w:type="dxa"/>
            <w:tcBorders>
              <w:top w:val="nil"/>
              <w:left w:val="nil"/>
              <w:bottom w:val="nil"/>
              <w:right w:val="nil"/>
            </w:tcBorders>
            <w:shd w:val="clear" w:color="auto" w:fill="auto"/>
            <w:noWrap/>
            <w:vAlign w:val="bottom"/>
            <w:hideMark/>
          </w:tcPr>
          <w:p w:rsidR="00B1221D" w:rsidRPr="00224519" w:rsidRDefault="00E00A46" w:rsidP="00E00A46">
            <w:pPr>
              <w:ind w:left="760"/>
              <w:jc w:val="right"/>
              <w:rPr>
                <w:rFonts w:ascii="Verdana" w:hAnsi="Verdana" w:cs="Calibri"/>
                <w:color w:val="000000"/>
                <w:sz w:val="18"/>
                <w:szCs w:val="24"/>
                <w:lang w:eastAsia="en-GB"/>
              </w:rPr>
            </w:pPr>
            <w:r w:rsidRPr="00224519">
              <w:rPr>
                <w:rFonts w:ascii="Verdana" w:hAnsi="Verdana" w:cs="Calibri"/>
                <w:color w:val="000000"/>
                <w:sz w:val="18"/>
                <w:szCs w:val="24"/>
                <w:lang w:eastAsia="en-GB"/>
              </w:rPr>
              <w:t>0</w:t>
            </w:r>
          </w:p>
        </w:tc>
        <w:tc>
          <w:tcPr>
            <w:tcW w:w="1457" w:type="dxa"/>
            <w:tcBorders>
              <w:top w:val="nil"/>
              <w:left w:val="nil"/>
              <w:bottom w:val="nil"/>
              <w:right w:val="nil"/>
            </w:tcBorders>
            <w:shd w:val="clear" w:color="auto" w:fill="auto"/>
            <w:noWrap/>
            <w:vAlign w:val="bottom"/>
            <w:hideMark/>
          </w:tcPr>
          <w:p w:rsidR="00B1221D" w:rsidRPr="00224519" w:rsidRDefault="00E8391A" w:rsidP="009E2067">
            <w:pPr>
              <w:jc w:val="right"/>
              <w:rPr>
                <w:rFonts w:ascii="Verdana" w:hAnsi="Verdana" w:cs="Calibri"/>
                <w:color w:val="000000"/>
                <w:sz w:val="18"/>
                <w:szCs w:val="24"/>
                <w:lang w:eastAsia="en-GB"/>
              </w:rPr>
            </w:pPr>
            <w:r w:rsidRPr="00224519">
              <w:rPr>
                <w:rFonts w:ascii="Verdana" w:hAnsi="Verdana" w:cs="Calibri"/>
                <w:color w:val="000000"/>
                <w:sz w:val="18"/>
                <w:szCs w:val="24"/>
                <w:lang w:eastAsia="en-GB"/>
              </w:rPr>
              <w:t>0</w:t>
            </w:r>
          </w:p>
        </w:tc>
        <w:tc>
          <w:tcPr>
            <w:tcW w:w="1102" w:type="dxa"/>
            <w:tcBorders>
              <w:top w:val="nil"/>
              <w:left w:val="nil"/>
              <w:bottom w:val="nil"/>
              <w:right w:val="nil"/>
            </w:tcBorders>
            <w:shd w:val="clear" w:color="auto" w:fill="auto"/>
            <w:noWrap/>
            <w:vAlign w:val="bottom"/>
            <w:hideMark/>
          </w:tcPr>
          <w:p w:rsidR="00B1221D" w:rsidRPr="00224519" w:rsidRDefault="00E8391A" w:rsidP="009E2067">
            <w:pPr>
              <w:jc w:val="right"/>
              <w:rPr>
                <w:rFonts w:ascii="Verdana" w:hAnsi="Verdana" w:cs="Calibri"/>
                <w:color w:val="000000"/>
                <w:sz w:val="18"/>
                <w:szCs w:val="24"/>
                <w:lang w:eastAsia="en-GB"/>
              </w:rPr>
            </w:pPr>
            <w:r w:rsidRPr="00224519">
              <w:rPr>
                <w:rFonts w:ascii="Verdana" w:hAnsi="Verdana" w:cs="Calibri"/>
                <w:color w:val="000000"/>
                <w:sz w:val="18"/>
                <w:szCs w:val="24"/>
                <w:lang w:eastAsia="en-GB"/>
              </w:rPr>
              <w:t>1</w:t>
            </w:r>
          </w:p>
        </w:tc>
        <w:tc>
          <w:tcPr>
            <w:tcW w:w="550" w:type="dxa"/>
            <w:tcBorders>
              <w:top w:val="nil"/>
              <w:left w:val="nil"/>
              <w:bottom w:val="nil"/>
              <w:right w:val="nil"/>
            </w:tcBorders>
          </w:tcPr>
          <w:p w:rsidR="00B1221D" w:rsidRPr="00224519" w:rsidRDefault="00B1221D" w:rsidP="009E2067">
            <w:pPr>
              <w:jc w:val="right"/>
              <w:rPr>
                <w:rFonts w:ascii="Verdana" w:hAnsi="Verdana" w:cs="Calibri"/>
                <w:color w:val="000000"/>
                <w:sz w:val="18"/>
                <w:szCs w:val="24"/>
                <w:lang w:eastAsia="en-GB"/>
              </w:rPr>
            </w:pPr>
          </w:p>
        </w:tc>
        <w:tc>
          <w:tcPr>
            <w:tcW w:w="996" w:type="dxa"/>
            <w:tcBorders>
              <w:top w:val="nil"/>
              <w:left w:val="nil"/>
              <w:bottom w:val="nil"/>
              <w:right w:val="nil"/>
            </w:tcBorders>
            <w:shd w:val="clear" w:color="auto" w:fill="auto"/>
            <w:noWrap/>
            <w:vAlign w:val="bottom"/>
            <w:hideMark/>
          </w:tcPr>
          <w:p w:rsidR="00B1221D" w:rsidRPr="00224519" w:rsidRDefault="00B1221D" w:rsidP="009E2067">
            <w:pPr>
              <w:jc w:val="right"/>
              <w:rPr>
                <w:rFonts w:ascii="Verdana" w:hAnsi="Verdana" w:cs="Calibri"/>
                <w:color w:val="000000"/>
                <w:sz w:val="18"/>
                <w:szCs w:val="24"/>
                <w:lang w:eastAsia="en-GB"/>
              </w:rPr>
            </w:pPr>
            <w:r w:rsidRPr="00224519">
              <w:rPr>
                <w:rFonts w:ascii="Verdana" w:hAnsi="Verdana" w:cs="Calibri"/>
                <w:color w:val="000000"/>
                <w:sz w:val="18"/>
                <w:szCs w:val="24"/>
                <w:lang w:eastAsia="en-GB"/>
              </w:rPr>
              <w:t>6</w:t>
            </w:r>
          </w:p>
        </w:tc>
        <w:tc>
          <w:tcPr>
            <w:tcW w:w="1102" w:type="dxa"/>
            <w:tcBorders>
              <w:top w:val="nil"/>
              <w:left w:val="nil"/>
              <w:bottom w:val="nil"/>
              <w:right w:val="nil"/>
            </w:tcBorders>
            <w:shd w:val="clear" w:color="auto" w:fill="auto"/>
            <w:noWrap/>
            <w:vAlign w:val="bottom"/>
            <w:hideMark/>
          </w:tcPr>
          <w:p w:rsidR="00B1221D" w:rsidRPr="00224519" w:rsidRDefault="00E8391A" w:rsidP="009E2067">
            <w:pPr>
              <w:jc w:val="right"/>
              <w:rPr>
                <w:rFonts w:ascii="Verdana" w:hAnsi="Verdana" w:cs="Calibri"/>
                <w:color w:val="000000"/>
                <w:sz w:val="18"/>
                <w:szCs w:val="24"/>
                <w:lang w:eastAsia="en-GB"/>
              </w:rPr>
            </w:pPr>
            <w:r w:rsidRPr="00224519">
              <w:rPr>
                <w:rFonts w:ascii="Verdana" w:hAnsi="Verdana" w:cs="Calibri"/>
                <w:color w:val="000000"/>
                <w:sz w:val="18"/>
                <w:szCs w:val="24"/>
                <w:lang w:eastAsia="en-GB"/>
              </w:rPr>
              <w:t>3</w:t>
            </w:r>
          </w:p>
        </w:tc>
        <w:tc>
          <w:tcPr>
            <w:tcW w:w="1196" w:type="dxa"/>
            <w:tcBorders>
              <w:top w:val="nil"/>
              <w:left w:val="nil"/>
              <w:bottom w:val="nil"/>
              <w:right w:val="nil"/>
            </w:tcBorders>
            <w:shd w:val="clear" w:color="auto" w:fill="auto"/>
            <w:noWrap/>
            <w:vAlign w:val="bottom"/>
            <w:hideMark/>
          </w:tcPr>
          <w:p w:rsidR="00B1221D" w:rsidRPr="00224519" w:rsidRDefault="00E8391A" w:rsidP="009E2067">
            <w:pPr>
              <w:jc w:val="right"/>
              <w:rPr>
                <w:rFonts w:ascii="Verdana" w:hAnsi="Verdana" w:cs="Calibri"/>
                <w:color w:val="000000"/>
                <w:sz w:val="18"/>
                <w:szCs w:val="24"/>
                <w:lang w:eastAsia="en-GB"/>
              </w:rPr>
            </w:pPr>
            <w:r w:rsidRPr="00224519">
              <w:rPr>
                <w:rFonts w:ascii="Verdana" w:hAnsi="Verdana" w:cs="Calibri"/>
                <w:color w:val="000000"/>
                <w:sz w:val="18"/>
                <w:szCs w:val="24"/>
                <w:lang w:eastAsia="en-GB"/>
              </w:rPr>
              <w:t>10</w:t>
            </w:r>
          </w:p>
        </w:tc>
      </w:tr>
      <w:tr w:rsidR="00B1221D" w:rsidRPr="00224519" w:rsidTr="009E2067">
        <w:trPr>
          <w:trHeight w:val="290"/>
        </w:trPr>
        <w:tc>
          <w:tcPr>
            <w:tcW w:w="1525" w:type="dxa"/>
            <w:tcBorders>
              <w:top w:val="single" w:sz="4" w:space="0" w:color="9BC2E6"/>
              <w:left w:val="nil"/>
              <w:bottom w:val="nil"/>
              <w:right w:val="nil"/>
            </w:tcBorders>
            <w:shd w:val="clear" w:color="DDEBF7" w:fill="DDEBF7"/>
            <w:noWrap/>
            <w:vAlign w:val="bottom"/>
            <w:hideMark/>
          </w:tcPr>
          <w:p w:rsidR="00B1221D" w:rsidRPr="00224519" w:rsidRDefault="00B1221D" w:rsidP="009E2067">
            <w:pPr>
              <w:rPr>
                <w:rFonts w:ascii="Verdana" w:hAnsi="Verdana" w:cs="Calibri"/>
                <w:b/>
                <w:bCs/>
                <w:color w:val="000000"/>
                <w:sz w:val="18"/>
                <w:szCs w:val="24"/>
                <w:lang w:eastAsia="en-GB"/>
              </w:rPr>
            </w:pPr>
            <w:r w:rsidRPr="00224519">
              <w:rPr>
                <w:rFonts w:ascii="Verdana" w:hAnsi="Verdana" w:cs="Calibri"/>
                <w:b/>
                <w:bCs/>
                <w:color w:val="000000"/>
                <w:sz w:val="18"/>
                <w:szCs w:val="24"/>
                <w:lang w:eastAsia="en-GB"/>
              </w:rPr>
              <w:t>Grand Total</w:t>
            </w:r>
          </w:p>
        </w:tc>
        <w:tc>
          <w:tcPr>
            <w:tcW w:w="1796" w:type="dxa"/>
            <w:tcBorders>
              <w:top w:val="single" w:sz="4" w:space="0" w:color="9BC2E6"/>
              <w:left w:val="nil"/>
              <w:bottom w:val="nil"/>
              <w:right w:val="nil"/>
            </w:tcBorders>
            <w:shd w:val="clear" w:color="DDEBF7" w:fill="DDEBF7"/>
            <w:noWrap/>
            <w:vAlign w:val="bottom"/>
            <w:hideMark/>
          </w:tcPr>
          <w:p w:rsidR="00B1221D" w:rsidRPr="00224519" w:rsidRDefault="00E8391A" w:rsidP="009E2067">
            <w:pPr>
              <w:jc w:val="right"/>
              <w:rPr>
                <w:rFonts w:ascii="Verdana" w:hAnsi="Verdana" w:cs="Calibri"/>
                <w:b/>
                <w:bCs/>
                <w:color w:val="000000"/>
                <w:sz w:val="18"/>
                <w:szCs w:val="24"/>
                <w:lang w:eastAsia="en-GB"/>
              </w:rPr>
            </w:pPr>
            <w:r w:rsidRPr="00224519">
              <w:rPr>
                <w:rFonts w:ascii="Verdana" w:hAnsi="Verdana" w:cs="Calibri"/>
                <w:b/>
                <w:bCs/>
                <w:color w:val="000000"/>
                <w:sz w:val="18"/>
                <w:szCs w:val="24"/>
                <w:lang w:eastAsia="en-GB"/>
              </w:rPr>
              <w:t>4</w:t>
            </w:r>
          </w:p>
        </w:tc>
        <w:tc>
          <w:tcPr>
            <w:tcW w:w="1457" w:type="dxa"/>
            <w:tcBorders>
              <w:top w:val="single" w:sz="4" w:space="0" w:color="9BC2E6"/>
              <w:left w:val="nil"/>
              <w:bottom w:val="nil"/>
              <w:right w:val="nil"/>
            </w:tcBorders>
            <w:shd w:val="clear" w:color="DDEBF7" w:fill="DDEBF7"/>
            <w:noWrap/>
            <w:vAlign w:val="bottom"/>
            <w:hideMark/>
          </w:tcPr>
          <w:p w:rsidR="00B1221D" w:rsidRPr="00224519" w:rsidRDefault="00E8391A" w:rsidP="009E2067">
            <w:pPr>
              <w:jc w:val="right"/>
              <w:rPr>
                <w:rFonts w:ascii="Verdana" w:hAnsi="Verdana" w:cs="Calibri"/>
                <w:b/>
                <w:bCs/>
                <w:color w:val="000000"/>
                <w:sz w:val="18"/>
                <w:szCs w:val="24"/>
                <w:lang w:eastAsia="en-GB"/>
              </w:rPr>
            </w:pPr>
            <w:r w:rsidRPr="00224519">
              <w:rPr>
                <w:rFonts w:ascii="Verdana" w:hAnsi="Verdana" w:cs="Calibri"/>
                <w:b/>
                <w:bCs/>
                <w:color w:val="000000"/>
                <w:sz w:val="18"/>
                <w:szCs w:val="24"/>
                <w:lang w:eastAsia="en-GB"/>
              </w:rPr>
              <w:t>0</w:t>
            </w:r>
          </w:p>
        </w:tc>
        <w:tc>
          <w:tcPr>
            <w:tcW w:w="1102" w:type="dxa"/>
            <w:tcBorders>
              <w:top w:val="single" w:sz="4" w:space="0" w:color="9BC2E6"/>
              <w:left w:val="nil"/>
              <w:bottom w:val="nil"/>
              <w:right w:val="nil"/>
            </w:tcBorders>
            <w:shd w:val="clear" w:color="DDEBF7" w:fill="DDEBF7"/>
            <w:noWrap/>
            <w:vAlign w:val="bottom"/>
            <w:hideMark/>
          </w:tcPr>
          <w:p w:rsidR="00B1221D" w:rsidRPr="00224519" w:rsidRDefault="00B1221D" w:rsidP="009E2067">
            <w:pPr>
              <w:jc w:val="right"/>
              <w:rPr>
                <w:rFonts w:ascii="Verdana" w:hAnsi="Verdana" w:cs="Calibri"/>
                <w:b/>
                <w:bCs/>
                <w:color w:val="000000"/>
                <w:sz w:val="18"/>
                <w:szCs w:val="24"/>
                <w:lang w:eastAsia="en-GB"/>
              </w:rPr>
            </w:pPr>
            <w:r w:rsidRPr="00224519">
              <w:rPr>
                <w:rFonts w:ascii="Verdana" w:hAnsi="Verdana" w:cs="Calibri"/>
                <w:b/>
                <w:bCs/>
                <w:color w:val="000000"/>
                <w:sz w:val="18"/>
                <w:szCs w:val="24"/>
                <w:lang w:eastAsia="en-GB"/>
              </w:rPr>
              <w:t>3</w:t>
            </w:r>
          </w:p>
        </w:tc>
        <w:tc>
          <w:tcPr>
            <w:tcW w:w="550" w:type="dxa"/>
            <w:tcBorders>
              <w:top w:val="single" w:sz="4" w:space="0" w:color="9BC2E6"/>
              <w:left w:val="nil"/>
              <w:bottom w:val="nil"/>
              <w:right w:val="nil"/>
            </w:tcBorders>
            <w:shd w:val="clear" w:color="DDEBF7" w:fill="DDEBF7"/>
          </w:tcPr>
          <w:p w:rsidR="00B1221D" w:rsidRPr="00224519" w:rsidRDefault="00B1221D" w:rsidP="009E2067">
            <w:pPr>
              <w:jc w:val="right"/>
              <w:rPr>
                <w:rFonts w:ascii="Verdana" w:hAnsi="Verdana" w:cs="Calibri"/>
                <w:b/>
                <w:bCs/>
                <w:color w:val="000000"/>
                <w:sz w:val="18"/>
                <w:szCs w:val="24"/>
                <w:lang w:eastAsia="en-GB"/>
              </w:rPr>
            </w:pPr>
          </w:p>
        </w:tc>
        <w:tc>
          <w:tcPr>
            <w:tcW w:w="996" w:type="dxa"/>
            <w:tcBorders>
              <w:top w:val="single" w:sz="4" w:space="0" w:color="9BC2E6"/>
              <w:left w:val="nil"/>
              <w:bottom w:val="nil"/>
              <w:right w:val="nil"/>
            </w:tcBorders>
            <w:shd w:val="clear" w:color="DDEBF7" w:fill="DDEBF7"/>
            <w:noWrap/>
            <w:vAlign w:val="bottom"/>
            <w:hideMark/>
          </w:tcPr>
          <w:p w:rsidR="00B1221D" w:rsidRPr="00224519" w:rsidRDefault="00E8391A" w:rsidP="009E2067">
            <w:pPr>
              <w:jc w:val="right"/>
              <w:rPr>
                <w:rFonts w:ascii="Verdana" w:hAnsi="Verdana" w:cs="Calibri"/>
                <w:b/>
                <w:bCs/>
                <w:color w:val="000000"/>
                <w:sz w:val="18"/>
                <w:szCs w:val="24"/>
                <w:lang w:eastAsia="en-GB"/>
              </w:rPr>
            </w:pPr>
            <w:r w:rsidRPr="00224519">
              <w:rPr>
                <w:rFonts w:ascii="Verdana" w:hAnsi="Verdana" w:cs="Calibri"/>
                <w:b/>
                <w:bCs/>
                <w:color w:val="000000"/>
                <w:sz w:val="18"/>
                <w:szCs w:val="24"/>
                <w:lang w:eastAsia="en-GB"/>
              </w:rPr>
              <w:t>15</w:t>
            </w:r>
          </w:p>
        </w:tc>
        <w:tc>
          <w:tcPr>
            <w:tcW w:w="1102" w:type="dxa"/>
            <w:tcBorders>
              <w:top w:val="single" w:sz="4" w:space="0" w:color="9BC2E6"/>
              <w:left w:val="nil"/>
              <w:bottom w:val="nil"/>
              <w:right w:val="nil"/>
            </w:tcBorders>
            <w:shd w:val="clear" w:color="DDEBF7" w:fill="DDEBF7"/>
            <w:noWrap/>
            <w:vAlign w:val="bottom"/>
            <w:hideMark/>
          </w:tcPr>
          <w:p w:rsidR="00B1221D" w:rsidRPr="00224519" w:rsidRDefault="00E8391A" w:rsidP="009E2067">
            <w:pPr>
              <w:jc w:val="right"/>
              <w:rPr>
                <w:rFonts w:ascii="Verdana" w:hAnsi="Verdana" w:cs="Calibri"/>
                <w:b/>
                <w:bCs/>
                <w:color w:val="000000"/>
                <w:sz w:val="18"/>
                <w:szCs w:val="24"/>
                <w:lang w:eastAsia="en-GB"/>
              </w:rPr>
            </w:pPr>
            <w:r w:rsidRPr="00224519">
              <w:rPr>
                <w:rFonts w:ascii="Verdana" w:hAnsi="Verdana" w:cs="Calibri"/>
                <w:b/>
                <w:bCs/>
                <w:color w:val="000000"/>
                <w:sz w:val="18"/>
                <w:szCs w:val="24"/>
                <w:lang w:eastAsia="en-GB"/>
              </w:rPr>
              <w:t>7</w:t>
            </w:r>
          </w:p>
        </w:tc>
        <w:tc>
          <w:tcPr>
            <w:tcW w:w="1196" w:type="dxa"/>
            <w:tcBorders>
              <w:top w:val="single" w:sz="4" w:space="0" w:color="9BC2E6"/>
              <w:left w:val="nil"/>
              <w:bottom w:val="nil"/>
              <w:right w:val="nil"/>
            </w:tcBorders>
            <w:shd w:val="clear" w:color="DDEBF7" w:fill="DDEBF7"/>
            <w:noWrap/>
            <w:vAlign w:val="bottom"/>
            <w:hideMark/>
          </w:tcPr>
          <w:p w:rsidR="00B1221D" w:rsidRPr="00224519" w:rsidRDefault="00E8391A" w:rsidP="009E2067">
            <w:pPr>
              <w:jc w:val="right"/>
              <w:rPr>
                <w:rFonts w:ascii="Verdana" w:hAnsi="Verdana" w:cs="Calibri"/>
                <w:b/>
                <w:bCs/>
                <w:color w:val="000000"/>
                <w:sz w:val="18"/>
                <w:szCs w:val="24"/>
                <w:lang w:eastAsia="en-GB"/>
              </w:rPr>
            </w:pPr>
            <w:r w:rsidRPr="00224519">
              <w:rPr>
                <w:rFonts w:ascii="Verdana" w:hAnsi="Verdana" w:cs="Calibri"/>
                <w:b/>
                <w:bCs/>
                <w:color w:val="000000"/>
                <w:sz w:val="18"/>
                <w:szCs w:val="24"/>
                <w:lang w:eastAsia="en-GB"/>
              </w:rPr>
              <w:t>29</w:t>
            </w:r>
          </w:p>
        </w:tc>
      </w:tr>
    </w:tbl>
    <w:p w:rsidR="00B1221D" w:rsidRPr="00224519" w:rsidRDefault="00B1221D" w:rsidP="00B1221D">
      <w:pPr>
        <w:jc w:val="both"/>
        <w:rPr>
          <w:rFonts w:ascii="Verdana" w:hAnsi="Verdana" w:cs="Arial"/>
          <w:sz w:val="24"/>
          <w:szCs w:val="24"/>
          <w:lang w:eastAsia="en-GB"/>
        </w:rPr>
      </w:pPr>
    </w:p>
    <w:p w:rsidR="00B1221D" w:rsidRPr="00224519" w:rsidRDefault="00B1221D" w:rsidP="0017564E">
      <w:pPr>
        <w:pStyle w:val="ListParagraph"/>
        <w:numPr>
          <w:ilvl w:val="0"/>
          <w:numId w:val="28"/>
        </w:numPr>
        <w:jc w:val="both"/>
        <w:rPr>
          <w:rFonts w:ascii="Verdana" w:hAnsi="Verdana" w:cs="Arial"/>
          <w:sz w:val="24"/>
          <w:szCs w:val="24"/>
        </w:rPr>
      </w:pPr>
      <w:r w:rsidRPr="00224519">
        <w:rPr>
          <w:rFonts w:ascii="Verdana" w:hAnsi="Verdana" w:cs="Arial"/>
          <w:sz w:val="24"/>
          <w:szCs w:val="24"/>
        </w:rPr>
        <w:t>WAST has reviewed the report and assessment itself against the commissioning intentions and has the following analysis:-</w:t>
      </w:r>
    </w:p>
    <w:p w:rsidR="00E00A46" w:rsidRPr="00224519" w:rsidRDefault="00E00A46" w:rsidP="00B1221D">
      <w:pPr>
        <w:jc w:val="both"/>
        <w:rPr>
          <w:rFonts w:ascii="Verdana" w:hAnsi="Verdana" w:cs="Arial"/>
          <w:sz w:val="24"/>
          <w:szCs w:val="24"/>
        </w:rPr>
      </w:pPr>
    </w:p>
    <w:tbl>
      <w:tblPr>
        <w:tblW w:w="9724" w:type="dxa"/>
        <w:tblLook w:val="04A0" w:firstRow="1" w:lastRow="0" w:firstColumn="1" w:lastColumn="0" w:noHBand="0" w:noVBand="1"/>
      </w:tblPr>
      <w:tblGrid>
        <w:gridCol w:w="1540"/>
        <w:gridCol w:w="1796"/>
        <w:gridCol w:w="1567"/>
        <w:gridCol w:w="1206"/>
        <w:gridCol w:w="222"/>
        <w:gridCol w:w="1063"/>
        <w:gridCol w:w="1168"/>
        <w:gridCol w:w="1196"/>
      </w:tblGrid>
      <w:tr w:rsidR="00B1221D" w:rsidRPr="00224519" w:rsidTr="009E2067">
        <w:trPr>
          <w:trHeight w:val="290"/>
        </w:trPr>
        <w:tc>
          <w:tcPr>
            <w:tcW w:w="1525" w:type="dxa"/>
            <w:tcBorders>
              <w:top w:val="nil"/>
              <w:left w:val="nil"/>
              <w:bottom w:val="nil"/>
              <w:right w:val="nil"/>
            </w:tcBorders>
            <w:shd w:val="clear" w:color="DDEBF7" w:fill="DDEBF7"/>
            <w:noWrap/>
            <w:vAlign w:val="bottom"/>
            <w:hideMark/>
          </w:tcPr>
          <w:p w:rsidR="00B1221D" w:rsidRPr="00224519" w:rsidRDefault="00C62F7A" w:rsidP="009E2067">
            <w:pPr>
              <w:rPr>
                <w:rFonts w:ascii="Verdana" w:hAnsi="Verdana" w:cs="Calibri"/>
                <w:b/>
                <w:bCs/>
                <w:color w:val="000000"/>
                <w:sz w:val="18"/>
                <w:szCs w:val="24"/>
                <w:lang w:eastAsia="en-GB"/>
              </w:rPr>
            </w:pPr>
            <w:r w:rsidRPr="00224519">
              <w:rPr>
                <w:rFonts w:ascii="Verdana" w:hAnsi="Verdana" w:cs="Calibri"/>
                <w:b/>
                <w:bCs/>
                <w:color w:val="000000"/>
                <w:sz w:val="18"/>
                <w:szCs w:val="24"/>
                <w:lang w:eastAsia="en-GB"/>
              </w:rPr>
              <w:t>NEPTS</w:t>
            </w:r>
          </w:p>
        </w:tc>
        <w:tc>
          <w:tcPr>
            <w:tcW w:w="1796" w:type="dxa"/>
            <w:tcBorders>
              <w:top w:val="nil"/>
              <w:left w:val="nil"/>
              <w:bottom w:val="nil"/>
              <w:right w:val="nil"/>
            </w:tcBorders>
            <w:shd w:val="clear" w:color="DDEBF7" w:fill="DDEBF7"/>
            <w:noWrap/>
            <w:vAlign w:val="bottom"/>
            <w:hideMark/>
          </w:tcPr>
          <w:p w:rsidR="00B1221D" w:rsidRPr="00224519" w:rsidRDefault="00B1221D" w:rsidP="009E2067">
            <w:pPr>
              <w:rPr>
                <w:rFonts w:ascii="Verdana" w:hAnsi="Verdana" w:cs="Calibri"/>
                <w:b/>
                <w:bCs/>
                <w:color w:val="DDEBF7"/>
                <w:sz w:val="18"/>
                <w:szCs w:val="24"/>
                <w:lang w:eastAsia="en-GB"/>
              </w:rPr>
            </w:pPr>
            <w:r w:rsidRPr="00224519">
              <w:rPr>
                <w:rFonts w:ascii="Verdana" w:hAnsi="Verdana" w:cs="Calibri"/>
                <w:b/>
                <w:bCs/>
                <w:color w:val="DDEBF7"/>
                <w:sz w:val="18"/>
                <w:szCs w:val="24"/>
                <w:lang w:eastAsia="en-GB"/>
              </w:rPr>
              <w:t>Column Labels</w:t>
            </w:r>
          </w:p>
        </w:tc>
        <w:tc>
          <w:tcPr>
            <w:tcW w:w="1457" w:type="dxa"/>
            <w:tcBorders>
              <w:top w:val="nil"/>
              <w:left w:val="nil"/>
              <w:bottom w:val="nil"/>
              <w:right w:val="nil"/>
            </w:tcBorders>
            <w:shd w:val="clear" w:color="DDEBF7" w:fill="DDEBF7"/>
            <w:noWrap/>
            <w:vAlign w:val="bottom"/>
            <w:hideMark/>
          </w:tcPr>
          <w:p w:rsidR="00B1221D" w:rsidRPr="00224519" w:rsidRDefault="00B1221D" w:rsidP="009E2067">
            <w:pPr>
              <w:rPr>
                <w:rFonts w:ascii="Verdana" w:hAnsi="Verdana" w:cs="Calibri"/>
                <w:b/>
                <w:bCs/>
                <w:color w:val="DDEBF7"/>
                <w:sz w:val="18"/>
                <w:szCs w:val="24"/>
                <w:lang w:eastAsia="en-GB"/>
              </w:rPr>
            </w:pPr>
          </w:p>
        </w:tc>
        <w:tc>
          <w:tcPr>
            <w:tcW w:w="1102" w:type="dxa"/>
            <w:tcBorders>
              <w:top w:val="nil"/>
              <w:left w:val="nil"/>
              <w:bottom w:val="nil"/>
              <w:right w:val="nil"/>
            </w:tcBorders>
            <w:shd w:val="clear" w:color="DDEBF7" w:fill="DDEBF7"/>
            <w:noWrap/>
            <w:vAlign w:val="bottom"/>
            <w:hideMark/>
          </w:tcPr>
          <w:p w:rsidR="00B1221D" w:rsidRPr="00224519" w:rsidRDefault="00B1221D" w:rsidP="009E2067">
            <w:pPr>
              <w:rPr>
                <w:rFonts w:ascii="Verdana" w:hAnsi="Verdana"/>
                <w:sz w:val="18"/>
                <w:szCs w:val="24"/>
                <w:lang w:eastAsia="en-GB"/>
              </w:rPr>
            </w:pPr>
          </w:p>
        </w:tc>
        <w:tc>
          <w:tcPr>
            <w:tcW w:w="550" w:type="dxa"/>
            <w:tcBorders>
              <w:top w:val="nil"/>
              <w:left w:val="nil"/>
              <w:bottom w:val="nil"/>
              <w:right w:val="nil"/>
            </w:tcBorders>
            <w:shd w:val="clear" w:color="DDEBF7" w:fill="DDEBF7"/>
          </w:tcPr>
          <w:p w:rsidR="00B1221D" w:rsidRPr="00224519" w:rsidRDefault="00B1221D" w:rsidP="009E2067">
            <w:pPr>
              <w:rPr>
                <w:rFonts w:ascii="Verdana" w:hAnsi="Verdana"/>
                <w:sz w:val="18"/>
                <w:szCs w:val="24"/>
                <w:lang w:eastAsia="en-GB"/>
              </w:rPr>
            </w:pPr>
          </w:p>
        </w:tc>
        <w:tc>
          <w:tcPr>
            <w:tcW w:w="996" w:type="dxa"/>
            <w:tcBorders>
              <w:top w:val="nil"/>
              <w:left w:val="nil"/>
              <w:bottom w:val="nil"/>
              <w:right w:val="nil"/>
            </w:tcBorders>
            <w:shd w:val="clear" w:color="DDEBF7" w:fill="DDEBF7"/>
            <w:noWrap/>
            <w:vAlign w:val="bottom"/>
            <w:hideMark/>
          </w:tcPr>
          <w:p w:rsidR="00B1221D" w:rsidRPr="00224519" w:rsidRDefault="00B1221D" w:rsidP="009E2067">
            <w:pPr>
              <w:rPr>
                <w:rFonts w:ascii="Verdana" w:hAnsi="Verdana"/>
                <w:sz w:val="18"/>
                <w:szCs w:val="24"/>
                <w:lang w:eastAsia="en-GB"/>
              </w:rPr>
            </w:pPr>
          </w:p>
        </w:tc>
        <w:tc>
          <w:tcPr>
            <w:tcW w:w="1102" w:type="dxa"/>
            <w:tcBorders>
              <w:top w:val="nil"/>
              <w:left w:val="nil"/>
              <w:bottom w:val="nil"/>
              <w:right w:val="nil"/>
            </w:tcBorders>
            <w:shd w:val="clear" w:color="DDEBF7" w:fill="DDEBF7"/>
            <w:noWrap/>
            <w:vAlign w:val="bottom"/>
            <w:hideMark/>
          </w:tcPr>
          <w:p w:rsidR="00B1221D" w:rsidRPr="00224519" w:rsidRDefault="00B1221D" w:rsidP="009E2067">
            <w:pPr>
              <w:rPr>
                <w:rFonts w:ascii="Verdana" w:hAnsi="Verdana"/>
                <w:sz w:val="18"/>
                <w:szCs w:val="24"/>
                <w:lang w:eastAsia="en-GB"/>
              </w:rPr>
            </w:pPr>
          </w:p>
        </w:tc>
        <w:tc>
          <w:tcPr>
            <w:tcW w:w="1196" w:type="dxa"/>
            <w:tcBorders>
              <w:top w:val="nil"/>
              <w:left w:val="nil"/>
              <w:bottom w:val="nil"/>
              <w:right w:val="nil"/>
            </w:tcBorders>
            <w:shd w:val="clear" w:color="DDEBF7" w:fill="DDEBF7"/>
            <w:noWrap/>
            <w:vAlign w:val="bottom"/>
            <w:hideMark/>
          </w:tcPr>
          <w:p w:rsidR="00B1221D" w:rsidRPr="00224519" w:rsidRDefault="00B1221D" w:rsidP="009E2067">
            <w:pPr>
              <w:rPr>
                <w:rFonts w:ascii="Verdana" w:hAnsi="Verdana"/>
                <w:sz w:val="18"/>
                <w:szCs w:val="24"/>
                <w:lang w:eastAsia="en-GB"/>
              </w:rPr>
            </w:pPr>
          </w:p>
        </w:tc>
      </w:tr>
      <w:tr w:rsidR="00B1221D" w:rsidRPr="00224519" w:rsidTr="009E2067">
        <w:trPr>
          <w:trHeight w:val="290"/>
        </w:trPr>
        <w:tc>
          <w:tcPr>
            <w:tcW w:w="1525" w:type="dxa"/>
            <w:tcBorders>
              <w:top w:val="nil"/>
              <w:left w:val="nil"/>
              <w:bottom w:val="single" w:sz="4" w:space="0" w:color="9BC2E6"/>
              <w:right w:val="nil"/>
            </w:tcBorders>
            <w:shd w:val="clear" w:color="DDEBF7" w:fill="DDEBF7"/>
            <w:noWrap/>
            <w:vAlign w:val="bottom"/>
            <w:hideMark/>
          </w:tcPr>
          <w:p w:rsidR="00B1221D" w:rsidRPr="00224519" w:rsidRDefault="00B1221D" w:rsidP="009E2067">
            <w:pPr>
              <w:rPr>
                <w:rFonts w:ascii="Verdana" w:hAnsi="Verdana" w:cs="Calibri"/>
                <w:b/>
                <w:bCs/>
                <w:color w:val="DDEBF7"/>
                <w:sz w:val="18"/>
                <w:szCs w:val="24"/>
                <w:lang w:eastAsia="en-GB"/>
              </w:rPr>
            </w:pPr>
            <w:r w:rsidRPr="00224519">
              <w:rPr>
                <w:rFonts w:ascii="Verdana" w:hAnsi="Verdana" w:cs="Calibri"/>
                <w:b/>
                <w:bCs/>
                <w:color w:val="DDEBF7"/>
                <w:sz w:val="18"/>
                <w:szCs w:val="24"/>
                <w:lang w:eastAsia="en-GB"/>
              </w:rPr>
              <w:t>Row Labels</w:t>
            </w:r>
          </w:p>
        </w:tc>
        <w:tc>
          <w:tcPr>
            <w:tcW w:w="1796" w:type="dxa"/>
            <w:tcBorders>
              <w:top w:val="nil"/>
              <w:left w:val="nil"/>
              <w:bottom w:val="single" w:sz="4" w:space="0" w:color="9BC2E6"/>
              <w:right w:val="nil"/>
            </w:tcBorders>
            <w:shd w:val="clear" w:color="DDEBF7" w:fill="DDEBF7"/>
            <w:noWrap/>
            <w:vAlign w:val="bottom"/>
            <w:hideMark/>
          </w:tcPr>
          <w:p w:rsidR="00B1221D" w:rsidRPr="00224519" w:rsidRDefault="00B1221D" w:rsidP="009E2067">
            <w:pPr>
              <w:rPr>
                <w:rFonts w:ascii="Verdana" w:hAnsi="Verdana" w:cs="Calibri"/>
                <w:b/>
                <w:bCs/>
                <w:color w:val="000000"/>
                <w:sz w:val="18"/>
                <w:szCs w:val="24"/>
                <w:lang w:eastAsia="en-GB"/>
              </w:rPr>
            </w:pPr>
            <w:r w:rsidRPr="00224519">
              <w:rPr>
                <w:rFonts w:ascii="Verdana" w:hAnsi="Verdana" w:cs="Calibri"/>
                <w:b/>
                <w:bCs/>
                <w:color w:val="000000"/>
                <w:sz w:val="18"/>
                <w:szCs w:val="24"/>
                <w:lang w:eastAsia="en-GB"/>
              </w:rPr>
              <w:t>Completed</w:t>
            </w:r>
          </w:p>
        </w:tc>
        <w:tc>
          <w:tcPr>
            <w:tcW w:w="1457" w:type="dxa"/>
            <w:tcBorders>
              <w:top w:val="nil"/>
              <w:left w:val="nil"/>
              <w:bottom w:val="single" w:sz="4" w:space="0" w:color="9BC2E6"/>
              <w:right w:val="nil"/>
            </w:tcBorders>
            <w:shd w:val="clear" w:color="DDEBF7" w:fill="DDEBF7"/>
            <w:noWrap/>
            <w:vAlign w:val="bottom"/>
            <w:hideMark/>
          </w:tcPr>
          <w:p w:rsidR="00B1221D" w:rsidRPr="00224519" w:rsidRDefault="00B1221D" w:rsidP="009E2067">
            <w:pPr>
              <w:rPr>
                <w:rFonts w:ascii="Verdana" w:hAnsi="Verdana" w:cs="Calibri"/>
                <w:b/>
                <w:bCs/>
                <w:color w:val="000000"/>
                <w:sz w:val="18"/>
                <w:szCs w:val="24"/>
                <w:lang w:eastAsia="en-GB"/>
              </w:rPr>
            </w:pPr>
            <w:r w:rsidRPr="00224519">
              <w:rPr>
                <w:rFonts w:ascii="Verdana" w:hAnsi="Verdana" w:cs="Calibri"/>
                <w:b/>
                <w:bCs/>
                <w:color w:val="000000"/>
                <w:sz w:val="18"/>
                <w:szCs w:val="24"/>
                <w:lang w:eastAsia="en-GB"/>
              </w:rPr>
              <w:t>Deterioration</w:t>
            </w:r>
          </w:p>
        </w:tc>
        <w:tc>
          <w:tcPr>
            <w:tcW w:w="1102" w:type="dxa"/>
            <w:tcBorders>
              <w:top w:val="nil"/>
              <w:left w:val="nil"/>
              <w:bottom w:val="single" w:sz="4" w:space="0" w:color="9BC2E6"/>
              <w:right w:val="nil"/>
            </w:tcBorders>
            <w:shd w:val="clear" w:color="DDEBF7" w:fill="DDEBF7"/>
            <w:noWrap/>
            <w:vAlign w:val="bottom"/>
            <w:hideMark/>
          </w:tcPr>
          <w:p w:rsidR="00B1221D" w:rsidRPr="00224519" w:rsidRDefault="00B1221D" w:rsidP="009E2067">
            <w:pPr>
              <w:rPr>
                <w:rFonts w:ascii="Verdana" w:hAnsi="Verdana" w:cs="Calibri"/>
                <w:b/>
                <w:bCs/>
                <w:color w:val="000000"/>
                <w:sz w:val="18"/>
                <w:szCs w:val="24"/>
                <w:lang w:eastAsia="en-GB"/>
              </w:rPr>
            </w:pPr>
            <w:r w:rsidRPr="00224519">
              <w:rPr>
                <w:rFonts w:ascii="Verdana" w:hAnsi="Verdana" w:cs="Calibri"/>
                <w:b/>
                <w:bCs/>
                <w:color w:val="000000"/>
                <w:sz w:val="18"/>
                <w:szCs w:val="24"/>
                <w:lang w:eastAsia="en-GB"/>
              </w:rPr>
              <w:t>Improved</w:t>
            </w:r>
          </w:p>
        </w:tc>
        <w:tc>
          <w:tcPr>
            <w:tcW w:w="550" w:type="dxa"/>
            <w:tcBorders>
              <w:top w:val="nil"/>
              <w:left w:val="nil"/>
              <w:bottom w:val="single" w:sz="4" w:space="0" w:color="9BC2E6"/>
              <w:right w:val="nil"/>
            </w:tcBorders>
            <w:shd w:val="clear" w:color="DDEBF7" w:fill="DDEBF7"/>
          </w:tcPr>
          <w:p w:rsidR="00B1221D" w:rsidRPr="00224519" w:rsidRDefault="00B1221D" w:rsidP="009E2067">
            <w:pPr>
              <w:rPr>
                <w:rFonts w:ascii="Verdana" w:hAnsi="Verdana" w:cs="Calibri"/>
                <w:b/>
                <w:bCs/>
                <w:color w:val="000000"/>
                <w:sz w:val="18"/>
                <w:szCs w:val="24"/>
                <w:lang w:eastAsia="en-GB"/>
              </w:rPr>
            </w:pPr>
          </w:p>
        </w:tc>
        <w:tc>
          <w:tcPr>
            <w:tcW w:w="996" w:type="dxa"/>
            <w:tcBorders>
              <w:top w:val="nil"/>
              <w:left w:val="nil"/>
              <w:bottom w:val="single" w:sz="4" w:space="0" w:color="9BC2E6"/>
              <w:right w:val="nil"/>
            </w:tcBorders>
            <w:shd w:val="clear" w:color="DDEBF7" w:fill="DDEBF7"/>
            <w:noWrap/>
            <w:vAlign w:val="bottom"/>
            <w:hideMark/>
          </w:tcPr>
          <w:p w:rsidR="00B1221D" w:rsidRPr="00224519" w:rsidRDefault="00B1221D" w:rsidP="009E2067">
            <w:pPr>
              <w:rPr>
                <w:rFonts w:ascii="Verdana" w:hAnsi="Verdana" w:cs="Calibri"/>
                <w:b/>
                <w:bCs/>
                <w:color w:val="000000"/>
                <w:sz w:val="18"/>
                <w:szCs w:val="24"/>
                <w:lang w:eastAsia="en-GB"/>
              </w:rPr>
            </w:pPr>
            <w:r w:rsidRPr="00224519">
              <w:rPr>
                <w:rFonts w:ascii="Verdana" w:hAnsi="Verdana" w:cs="Calibri"/>
                <w:b/>
                <w:bCs/>
                <w:color w:val="000000"/>
                <w:sz w:val="18"/>
                <w:szCs w:val="24"/>
                <w:lang w:eastAsia="en-GB"/>
              </w:rPr>
              <w:t>Ongoing</w:t>
            </w:r>
          </w:p>
        </w:tc>
        <w:tc>
          <w:tcPr>
            <w:tcW w:w="1102" w:type="dxa"/>
            <w:tcBorders>
              <w:top w:val="nil"/>
              <w:left w:val="nil"/>
              <w:bottom w:val="single" w:sz="4" w:space="0" w:color="9BC2E6"/>
              <w:right w:val="nil"/>
            </w:tcBorders>
            <w:shd w:val="clear" w:color="DDEBF7" w:fill="DDEBF7"/>
            <w:noWrap/>
            <w:vAlign w:val="bottom"/>
            <w:hideMark/>
          </w:tcPr>
          <w:p w:rsidR="00B1221D" w:rsidRPr="00224519" w:rsidRDefault="00B1221D" w:rsidP="009E2067">
            <w:pPr>
              <w:rPr>
                <w:rFonts w:ascii="Verdana" w:hAnsi="Verdana" w:cs="Calibri"/>
                <w:b/>
                <w:bCs/>
                <w:color w:val="000000"/>
                <w:sz w:val="18"/>
                <w:szCs w:val="24"/>
                <w:lang w:eastAsia="en-GB"/>
              </w:rPr>
            </w:pPr>
            <w:r w:rsidRPr="00224519">
              <w:rPr>
                <w:rFonts w:ascii="Verdana" w:hAnsi="Verdana" w:cs="Calibri"/>
                <w:b/>
                <w:bCs/>
                <w:color w:val="000000"/>
                <w:sz w:val="18"/>
                <w:szCs w:val="24"/>
                <w:lang w:eastAsia="en-GB"/>
              </w:rPr>
              <w:t>Unknown</w:t>
            </w:r>
          </w:p>
        </w:tc>
        <w:tc>
          <w:tcPr>
            <w:tcW w:w="1196" w:type="dxa"/>
            <w:tcBorders>
              <w:top w:val="nil"/>
              <w:left w:val="nil"/>
              <w:bottom w:val="single" w:sz="4" w:space="0" w:color="9BC2E6"/>
              <w:right w:val="nil"/>
            </w:tcBorders>
            <w:shd w:val="clear" w:color="DDEBF7" w:fill="DDEBF7"/>
            <w:noWrap/>
            <w:vAlign w:val="bottom"/>
            <w:hideMark/>
          </w:tcPr>
          <w:p w:rsidR="00B1221D" w:rsidRPr="00224519" w:rsidRDefault="00B1221D" w:rsidP="009E2067">
            <w:pPr>
              <w:rPr>
                <w:rFonts w:ascii="Verdana" w:hAnsi="Verdana" w:cs="Calibri"/>
                <w:b/>
                <w:bCs/>
                <w:color w:val="000000"/>
                <w:sz w:val="18"/>
                <w:szCs w:val="24"/>
                <w:lang w:eastAsia="en-GB"/>
              </w:rPr>
            </w:pPr>
            <w:r w:rsidRPr="00224519">
              <w:rPr>
                <w:rFonts w:ascii="Verdana" w:hAnsi="Verdana" w:cs="Calibri"/>
                <w:b/>
                <w:bCs/>
                <w:color w:val="000000"/>
                <w:sz w:val="18"/>
                <w:szCs w:val="24"/>
                <w:lang w:eastAsia="en-GB"/>
              </w:rPr>
              <w:t>Grand Total</w:t>
            </w:r>
          </w:p>
        </w:tc>
      </w:tr>
      <w:tr w:rsidR="00E00A46" w:rsidRPr="00224519" w:rsidTr="009E2067">
        <w:trPr>
          <w:trHeight w:val="290"/>
        </w:trPr>
        <w:tc>
          <w:tcPr>
            <w:tcW w:w="1525" w:type="dxa"/>
            <w:tcBorders>
              <w:top w:val="nil"/>
              <w:left w:val="nil"/>
              <w:bottom w:val="nil"/>
              <w:right w:val="nil"/>
            </w:tcBorders>
            <w:shd w:val="clear" w:color="auto" w:fill="auto"/>
            <w:noWrap/>
            <w:vAlign w:val="bottom"/>
            <w:hideMark/>
          </w:tcPr>
          <w:p w:rsidR="00E00A46" w:rsidRPr="00224519" w:rsidRDefault="00E00A46" w:rsidP="00E00A46">
            <w:pPr>
              <w:rPr>
                <w:rFonts w:ascii="Verdana" w:hAnsi="Verdana" w:cs="Calibri"/>
                <w:color w:val="000000"/>
                <w:sz w:val="18"/>
                <w:szCs w:val="24"/>
                <w:lang w:eastAsia="en-GB"/>
              </w:rPr>
            </w:pPr>
            <w:r w:rsidRPr="00224519">
              <w:rPr>
                <w:rFonts w:ascii="Verdana" w:hAnsi="Verdana" w:cs="Calibri"/>
                <w:color w:val="000000"/>
                <w:sz w:val="18"/>
                <w:szCs w:val="24"/>
                <w:lang w:eastAsia="en-GB"/>
              </w:rPr>
              <w:t>Framework Improvements</w:t>
            </w:r>
          </w:p>
        </w:tc>
        <w:tc>
          <w:tcPr>
            <w:tcW w:w="1796" w:type="dxa"/>
            <w:tcBorders>
              <w:top w:val="nil"/>
              <w:left w:val="nil"/>
              <w:bottom w:val="nil"/>
              <w:right w:val="nil"/>
            </w:tcBorders>
            <w:shd w:val="clear" w:color="auto" w:fill="auto"/>
            <w:noWrap/>
            <w:vAlign w:val="bottom"/>
            <w:hideMark/>
          </w:tcPr>
          <w:p w:rsidR="00E00A46" w:rsidRPr="00224519" w:rsidRDefault="00E00A46" w:rsidP="00E00A46">
            <w:pPr>
              <w:jc w:val="right"/>
              <w:rPr>
                <w:rFonts w:ascii="Verdana" w:hAnsi="Verdana" w:cs="Calibri"/>
                <w:color w:val="000000"/>
                <w:sz w:val="18"/>
                <w:szCs w:val="24"/>
                <w:lang w:eastAsia="en-GB"/>
              </w:rPr>
            </w:pPr>
            <w:r w:rsidRPr="00224519">
              <w:rPr>
                <w:rFonts w:ascii="Verdana" w:hAnsi="Verdana" w:cs="Calibri"/>
                <w:color w:val="000000"/>
                <w:sz w:val="18"/>
                <w:szCs w:val="24"/>
                <w:lang w:eastAsia="en-GB"/>
              </w:rPr>
              <w:t>5</w:t>
            </w:r>
          </w:p>
        </w:tc>
        <w:tc>
          <w:tcPr>
            <w:tcW w:w="1457" w:type="dxa"/>
            <w:tcBorders>
              <w:top w:val="nil"/>
              <w:left w:val="nil"/>
              <w:bottom w:val="nil"/>
              <w:right w:val="nil"/>
            </w:tcBorders>
            <w:shd w:val="clear" w:color="auto" w:fill="auto"/>
            <w:noWrap/>
            <w:vAlign w:val="bottom"/>
            <w:hideMark/>
          </w:tcPr>
          <w:p w:rsidR="00E00A46" w:rsidRPr="00224519" w:rsidRDefault="00E00A46" w:rsidP="00E00A46">
            <w:pPr>
              <w:jc w:val="right"/>
              <w:rPr>
                <w:rFonts w:ascii="Verdana" w:hAnsi="Verdana" w:cs="Calibri"/>
                <w:color w:val="000000"/>
                <w:sz w:val="18"/>
                <w:szCs w:val="24"/>
                <w:lang w:eastAsia="en-GB"/>
              </w:rPr>
            </w:pPr>
            <w:r w:rsidRPr="00224519">
              <w:rPr>
                <w:rFonts w:ascii="Verdana" w:hAnsi="Verdana" w:cs="Calibri"/>
                <w:color w:val="000000"/>
                <w:sz w:val="18"/>
                <w:szCs w:val="24"/>
                <w:lang w:eastAsia="en-GB"/>
              </w:rPr>
              <w:t>2</w:t>
            </w:r>
          </w:p>
        </w:tc>
        <w:tc>
          <w:tcPr>
            <w:tcW w:w="1102" w:type="dxa"/>
            <w:tcBorders>
              <w:top w:val="nil"/>
              <w:left w:val="nil"/>
              <w:bottom w:val="nil"/>
              <w:right w:val="nil"/>
            </w:tcBorders>
            <w:shd w:val="clear" w:color="auto" w:fill="auto"/>
            <w:noWrap/>
            <w:vAlign w:val="bottom"/>
            <w:hideMark/>
          </w:tcPr>
          <w:p w:rsidR="00E00A46" w:rsidRPr="00224519" w:rsidRDefault="00E00A46" w:rsidP="00E00A46">
            <w:pPr>
              <w:jc w:val="right"/>
              <w:rPr>
                <w:rFonts w:ascii="Verdana" w:hAnsi="Verdana" w:cs="Calibri"/>
                <w:color w:val="000000"/>
                <w:sz w:val="18"/>
                <w:szCs w:val="24"/>
                <w:lang w:eastAsia="en-GB"/>
              </w:rPr>
            </w:pPr>
            <w:r w:rsidRPr="00224519">
              <w:rPr>
                <w:rFonts w:ascii="Verdana" w:hAnsi="Verdana" w:cs="Calibri"/>
                <w:color w:val="000000"/>
                <w:sz w:val="18"/>
                <w:szCs w:val="24"/>
                <w:lang w:eastAsia="en-GB"/>
              </w:rPr>
              <w:t>1</w:t>
            </w:r>
          </w:p>
        </w:tc>
        <w:tc>
          <w:tcPr>
            <w:tcW w:w="550" w:type="dxa"/>
            <w:tcBorders>
              <w:top w:val="nil"/>
              <w:left w:val="nil"/>
              <w:bottom w:val="nil"/>
              <w:right w:val="nil"/>
            </w:tcBorders>
          </w:tcPr>
          <w:p w:rsidR="00E00A46" w:rsidRPr="00224519" w:rsidRDefault="00E00A46" w:rsidP="00E00A46">
            <w:pPr>
              <w:jc w:val="right"/>
              <w:rPr>
                <w:rFonts w:ascii="Verdana" w:hAnsi="Verdana" w:cs="Calibri"/>
                <w:color w:val="000000"/>
                <w:sz w:val="18"/>
                <w:szCs w:val="24"/>
                <w:lang w:eastAsia="en-GB"/>
              </w:rPr>
            </w:pPr>
          </w:p>
        </w:tc>
        <w:tc>
          <w:tcPr>
            <w:tcW w:w="996" w:type="dxa"/>
            <w:tcBorders>
              <w:top w:val="nil"/>
              <w:left w:val="nil"/>
              <w:bottom w:val="nil"/>
              <w:right w:val="nil"/>
            </w:tcBorders>
            <w:shd w:val="clear" w:color="auto" w:fill="auto"/>
            <w:noWrap/>
            <w:vAlign w:val="bottom"/>
            <w:hideMark/>
          </w:tcPr>
          <w:p w:rsidR="00E00A46" w:rsidRPr="00224519" w:rsidRDefault="00E00A46" w:rsidP="00E00A46">
            <w:pPr>
              <w:jc w:val="right"/>
              <w:rPr>
                <w:rFonts w:ascii="Verdana" w:hAnsi="Verdana" w:cs="Calibri"/>
                <w:color w:val="000000"/>
                <w:sz w:val="18"/>
                <w:szCs w:val="24"/>
                <w:lang w:eastAsia="en-GB"/>
              </w:rPr>
            </w:pPr>
            <w:r w:rsidRPr="00224519">
              <w:rPr>
                <w:rFonts w:ascii="Verdana" w:hAnsi="Verdana" w:cs="Calibri"/>
                <w:color w:val="000000"/>
                <w:sz w:val="18"/>
                <w:szCs w:val="24"/>
                <w:lang w:eastAsia="en-GB"/>
              </w:rPr>
              <w:t>11</w:t>
            </w:r>
          </w:p>
        </w:tc>
        <w:tc>
          <w:tcPr>
            <w:tcW w:w="1102" w:type="dxa"/>
            <w:tcBorders>
              <w:top w:val="nil"/>
              <w:left w:val="nil"/>
              <w:bottom w:val="nil"/>
              <w:right w:val="nil"/>
            </w:tcBorders>
            <w:shd w:val="clear" w:color="auto" w:fill="auto"/>
            <w:noWrap/>
            <w:vAlign w:val="bottom"/>
            <w:hideMark/>
          </w:tcPr>
          <w:p w:rsidR="00E00A46" w:rsidRPr="00224519" w:rsidRDefault="00E00A46" w:rsidP="00E00A46">
            <w:pPr>
              <w:jc w:val="right"/>
              <w:rPr>
                <w:rFonts w:ascii="Verdana" w:hAnsi="Verdana" w:cs="Calibri"/>
                <w:color w:val="000000"/>
                <w:sz w:val="18"/>
                <w:szCs w:val="24"/>
                <w:lang w:eastAsia="en-GB"/>
              </w:rPr>
            </w:pPr>
            <w:r w:rsidRPr="00224519">
              <w:rPr>
                <w:rFonts w:ascii="Verdana" w:hAnsi="Verdana" w:cs="Calibri"/>
                <w:color w:val="000000"/>
                <w:sz w:val="18"/>
                <w:szCs w:val="24"/>
                <w:lang w:eastAsia="en-GB"/>
              </w:rPr>
              <w:t>0</w:t>
            </w:r>
          </w:p>
        </w:tc>
        <w:tc>
          <w:tcPr>
            <w:tcW w:w="1196" w:type="dxa"/>
            <w:tcBorders>
              <w:top w:val="nil"/>
              <w:left w:val="nil"/>
              <w:bottom w:val="nil"/>
              <w:right w:val="nil"/>
            </w:tcBorders>
            <w:shd w:val="clear" w:color="auto" w:fill="auto"/>
            <w:noWrap/>
            <w:vAlign w:val="bottom"/>
            <w:hideMark/>
          </w:tcPr>
          <w:p w:rsidR="00E00A46" w:rsidRPr="00224519" w:rsidRDefault="00E00A46" w:rsidP="00E00A46">
            <w:pPr>
              <w:jc w:val="right"/>
              <w:rPr>
                <w:rFonts w:ascii="Verdana" w:hAnsi="Verdana" w:cs="Calibri"/>
                <w:color w:val="000000"/>
                <w:sz w:val="18"/>
                <w:szCs w:val="24"/>
                <w:lang w:eastAsia="en-GB"/>
              </w:rPr>
            </w:pPr>
            <w:r w:rsidRPr="00224519">
              <w:rPr>
                <w:rFonts w:ascii="Verdana" w:hAnsi="Verdana" w:cs="Calibri"/>
                <w:color w:val="000000"/>
                <w:sz w:val="18"/>
                <w:szCs w:val="24"/>
                <w:lang w:eastAsia="en-GB"/>
              </w:rPr>
              <w:t>19</w:t>
            </w:r>
          </w:p>
        </w:tc>
      </w:tr>
      <w:tr w:rsidR="00E00A46" w:rsidRPr="00224519" w:rsidTr="009E2067">
        <w:trPr>
          <w:trHeight w:val="290"/>
        </w:trPr>
        <w:tc>
          <w:tcPr>
            <w:tcW w:w="1525" w:type="dxa"/>
            <w:tcBorders>
              <w:top w:val="nil"/>
              <w:left w:val="nil"/>
              <w:bottom w:val="nil"/>
              <w:right w:val="nil"/>
            </w:tcBorders>
            <w:shd w:val="clear" w:color="auto" w:fill="auto"/>
            <w:noWrap/>
            <w:vAlign w:val="bottom"/>
            <w:hideMark/>
          </w:tcPr>
          <w:p w:rsidR="00E00A46" w:rsidRPr="00224519" w:rsidRDefault="00E00A46" w:rsidP="00E00A46">
            <w:pPr>
              <w:rPr>
                <w:rFonts w:ascii="Verdana" w:hAnsi="Verdana" w:cs="Calibri"/>
                <w:color w:val="000000"/>
                <w:sz w:val="18"/>
                <w:szCs w:val="24"/>
                <w:lang w:eastAsia="en-GB"/>
              </w:rPr>
            </w:pPr>
            <w:r w:rsidRPr="00224519">
              <w:rPr>
                <w:rFonts w:ascii="Verdana" w:hAnsi="Verdana" w:cs="Calibri"/>
                <w:color w:val="000000"/>
                <w:sz w:val="18"/>
                <w:szCs w:val="24"/>
                <w:lang w:eastAsia="en-GB"/>
              </w:rPr>
              <w:t>WAST Performance Improvements</w:t>
            </w:r>
          </w:p>
        </w:tc>
        <w:tc>
          <w:tcPr>
            <w:tcW w:w="1796" w:type="dxa"/>
            <w:tcBorders>
              <w:top w:val="nil"/>
              <w:left w:val="nil"/>
              <w:bottom w:val="nil"/>
              <w:right w:val="nil"/>
            </w:tcBorders>
            <w:shd w:val="clear" w:color="auto" w:fill="auto"/>
            <w:noWrap/>
            <w:vAlign w:val="bottom"/>
            <w:hideMark/>
          </w:tcPr>
          <w:p w:rsidR="00E00A46" w:rsidRPr="00224519" w:rsidRDefault="00E00A46" w:rsidP="00E00A46">
            <w:pPr>
              <w:ind w:left="760"/>
              <w:jc w:val="right"/>
              <w:rPr>
                <w:rFonts w:ascii="Verdana" w:hAnsi="Verdana" w:cs="Calibri"/>
                <w:color w:val="000000"/>
                <w:sz w:val="18"/>
                <w:szCs w:val="24"/>
                <w:lang w:eastAsia="en-GB"/>
              </w:rPr>
            </w:pPr>
            <w:r w:rsidRPr="00224519">
              <w:rPr>
                <w:rFonts w:ascii="Verdana" w:hAnsi="Verdana" w:cs="Calibri"/>
                <w:color w:val="000000"/>
                <w:sz w:val="18"/>
                <w:szCs w:val="24"/>
                <w:lang w:eastAsia="en-GB"/>
              </w:rPr>
              <w:t>0</w:t>
            </w:r>
          </w:p>
        </w:tc>
        <w:tc>
          <w:tcPr>
            <w:tcW w:w="1457" w:type="dxa"/>
            <w:tcBorders>
              <w:top w:val="nil"/>
              <w:left w:val="nil"/>
              <w:bottom w:val="nil"/>
              <w:right w:val="nil"/>
            </w:tcBorders>
            <w:shd w:val="clear" w:color="auto" w:fill="auto"/>
            <w:noWrap/>
            <w:vAlign w:val="bottom"/>
            <w:hideMark/>
          </w:tcPr>
          <w:p w:rsidR="00E00A46" w:rsidRPr="00224519" w:rsidRDefault="00E00A46" w:rsidP="00E00A46">
            <w:pPr>
              <w:jc w:val="right"/>
              <w:rPr>
                <w:rFonts w:ascii="Verdana" w:hAnsi="Verdana" w:cs="Calibri"/>
                <w:color w:val="000000"/>
                <w:sz w:val="18"/>
                <w:szCs w:val="24"/>
                <w:lang w:eastAsia="en-GB"/>
              </w:rPr>
            </w:pPr>
            <w:r w:rsidRPr="00224519">
              <w:rPr>
                <w:rFonts w:ascii="Verdana" w:hAnsi="Verdana" w:cs="Calibri"/>
                <w:color w:val="000000"/>
                <w:sz w:val="18"/>
                <w:szCs w:val="24"/>
                <w:lang w:eastAsia="en-GB"/>
              </w:rPr>
              <w:t>1</w:t>
            </w:r>
          </w:p>
        </w:tc>
        <w:tc>
          <w:tcPr>
            <w:tcW w:w="1102" w:type="dxa"/>
            <w:tcBorders>
              <w:top w:val="nil"/>
              <w:left w:val="nil"/>
              <w:bottom w:val="nil"/>
              <w:right w:val="nil"/>
            </w:tcBorders>
            <w:shd w:val="clear" w:color="auto" w:fill="auto"/>
            <w:noWrap/>
            <w:vAlign w:val="bottom"/>
            <w:hideMark/>
          </w:tcPr>
          <w:p w:rsidR="00E00A46" w:rsidRPr="00224519" w:rsidRDefault="00E00A46" w:rsidP="00E00A46">
            <w:pPr>
              <w:jc w:val="right"/>
              <w:rPr>
                <w:rFonts w:ascii="Verdana" w:hAnsi="Verdana" w:cs="Calibri"/>
                <w:color w:val="000000"/>
                <w:sz w:val="18"/>
                <w:szCs w:val="24"/>
                <w:lang w:eastAsia="en-GB"/>
              </w:rPr>
            </w:pPr>
            <w:r w:rsidRPr="00224519">
              <w:rPr>
                <w:rFonts w:ascii="Verdana" w:hAnsi="Verdana" w:cs="Calibri"/>
                <w:color w:val="000000"/>
                <w:sz w:val="18"/>
                <w:szCs w:val="24"/>
                <w:lang w:eastAsia="en-GB"/>
              </w:rPr>
              <w:t>0</w:t>
            </w:r>
          </w:p>
        </w:tc>
        <w:tc>
          <w:tcPr>
            <w:tcW w:w="550" w:type="dxa"/>
            <w:tcBorders>
              <w:top w:val="nil"/>
              <w:left w:val="nil"/>
              <w:bottom w:val="nil"/>
              <w:right w:val="nil"/>
            </w:tcBorders>
          </w:tcPr>
          <w:p w:rsidR="00E00A46" w:rsidRPr="00224519" w:rsidRDefault="00E00A46" w:rsidP="00E00A46">
            <w:pPr>
              <w:jc w:val="right"/>
              <w:rPr>
                <w:rFonts w:ascii="Verdana" w:hAnsi="Verdana" w:cs="Calibri"/>
                <w:color w:val="000000"/>
                <w:sz w:val="18"/>
                <w:szCs w:val="24"/>
                <w:lang w:eastAsia="en-GB"/>
              </w:rPr>
            </w:pPr>
          </w:p>
        </w:tc>
        <w:tc>
          <w:tcPr>
            <w:tcW w:w="996" w:type="dxa"/>
            <w:tcBorders>
              <w:top w:val="nil"/>
              <w:left w:val="nil"/>
              <w:bottom w:val="nil"/>
              <w:right w:val="nil"/>
            </w:tcBorders>
            <w:shd w:val="clear" w:color="auto" w:fill="auto"/>
            <w:noWrap/>
            <w:vAlign w:val="bottom"/>
            <w:hideMark/>
          </w:tcPr>
          <w:p w:rsidR="00E00A46" w:rsidRPr="00224519" w:rsidRDefault="00E00A46" w:rsidP="00E00A46">
            <w:pPr>
              <w:jc w:val="right"/>
              <w:rPr>
                <w:rFonts w:ascii="Verdana" w:hAnsi="Verdana" w:cs="Calibri"/>
                <w:color w:val="000000"/>
                <w:sz w:val="18"/>
                <w:szCs w:val="24"/>
                <w:lang w:eastAsia="en-GB"/>
              </w:rPr>
            </w:pPr>
            <w:r w:rsidRPr="00224519">
              <w:rPr>
                <w:rFonts w:ascii="Verdana" w:hAnsi="Verdana" w:cs="Calibri"/>
                <w:color w:val="000000"/>
                <w:sz w:val="18"/>
                <w:szCs w:val="24"/>
                <w:lang w:eastAsia="en-GB"/>
              </w:rPr>
              <w:t>9</w:t>
            </w:r>
          </w:p>
        </w:tc>
        <w:tc>
          <w:tcPr>
            <w:tcW w:w="1102" w:type="dxa"/>
            <w:tcBorders>
              <w:top w:val="nil"/>
              <w:left w:val="nil"/>
              <w:bottom w:val="nil"/>
              <w:right w:val="nil"/>
            </w:tcBorders>
            <w:shd w:val="clear" w:color="auto" w:fill="auto"/>
            <w:noWrap/>
            <w:vAlign w:val="bottom"/>
            <w:hideMark/>
          </w:tcPr>
          <w:p w:rsidR="00E00A46" w:rsidRPr="00224519" w:rsidRDefault="00E00A46" w:rsidP="00E00A46">
            <w:pPr>
              <w:jc w:val="right"/>
              <w:rPr>
                <w:rFonts w:ascii="Verdana" w:hAnsi="Verdana" w:cs="Calibri"/>
                <w:color w:val="000000"/>
                <w:sz w:val="18"/>
                <w:szCs w:val="24"/>
                <w:lang w:eastAsia="en-GB"/>
              </w:rPr>
            </w:pPr>
            <w:r w:rsidRPr="00224519">
              <w:rPr>
                <w:rFonts w:ascii="Verdana" w:hAnsi="Verdana" w:cs="Calibri"/>
                <w:color w:val="000000"/>
                <w:sz w:val="18"/>
                <w:szCs w:val="24"/>
                <w:lang w:eastAsia="en-GB"/>
              </w:rPr>
              <w:t>0</w:t>
            </w:r>
          </w:p>
        </w:tc>
        <w:tc>
          <w:tcPr>
            <w:tcW w:w="1196" w:type="dxa"/>
            <w:tcBorders>
              <w:top w:val="nil"/>
              <w:left w:val="nil"/>
              <w:bottom w:val="nil"/>
              <w:right w:val="nil"/>
            </w:tcBorders>
            <w:shd w:val="clear" w:color="auto" w:fill="auto"/>
            <w:noWrap/>
            <w:vAlign w:val="bottom"/>
            <w:hideMark/>
          </w:tcPr>
          <w:p w:rsidR="00E00A46" w:rsidRPr="00224519" w:rsidRDefault="00E00A46" w:rsidP="00E00A46">
            <w:pPr>
              <w:jc w:val="right"/>
              <w:rPr>
                <w:rFonts w:ascii="Verdana" w:hAnsi="Verdana" w:cs="Calibri"/>
                <w:color w:val="000000"/>
                <w:sz w:val="18"/>
                <w:szCs w:val="24"/>
                <w:lang w:eastAsia="en-GB"/>
              </w:rPr>
            </w:pPr>
            <w:r w:rsidRPr="00224519">
              <w:rPr>
                <w:rFonts w:ascii="Verdana" w:hAnsi="Verdana" w:cs="Calibri"/>
                <w:color w:val="000000"/>
                <w:sz w:val="18"/>
                <w:szCs w:val="24"/>
                <w:lang w:eastAsia="en-GB"/>
              </w:rPr>
              <w:t>10</w:t>
            </w:r>
          </w:p>
        </w:tc>
      </w:tr>
      <w:tr w:rsidR="00B1221D" w:rsidRPr="00224519" w:rsidTr="009E2067">
        <w:trPr>
          <w:trHeight w:val="290"/>
        </w:trPr>
        <w:tc>
          <w:tcPr>
            <w:tcW w:w="1525" w:type="dxa"/>
            <w:tcBorders>
              <w:top w:val="single" w:sz="4" w:space="0" w:color="9BC2E6"/>
              <w:left w:val="nil"/>
              <w:bottom w:val="nil"/>
              <w:right w:val="nil"/>
            </w:tcBorders>
            <w:shd w:val="clear" w:color="DDEBF7" w:fill="DDEBF7"/>
            <w:noWrap/>
            <w:vAlign w:val="bottom"/>
            <w:hideMark/>
          </w:tcPr>
          <w:p w:rsidR="00B1221D" w:rsidRPr="00224519" w:rsidRDefault="00B1221D" w:rsidP="009E2067">
            <w:pPr>
              <w:rPr>
                <w:rFonts w:ascii="Verdana" w:hAnsi="Verdana" w:cs="Calibri"/>
                <w:b/>
                <w:bCs/>
                <w:color w:val="000000"/>
                <w:sz w:val="18"/>
                <w:szCs w:val="24"/>
                <w:lang w:eastAsia="en-GB"/>
              </w:rPr>
            </w:pPr>
            <w:r w:rsidRPr="00224519">
              <w:rPr>
                <w:rFonts w:ascii="Verdana" w:hAnsi="Verdana" w:cs="Calibri"/>
                <w:b/>
                <w:bCs/>
                <w:color w:val="000000"/>
                <w:sz w:val="18"/>
                <w:szCs w:val="24"/>
                <w:lang w:eastAsia="en-GB"/>
              </w:rPr>
              <w:t>Grand Total</w:t>
            </w:r>
          </w:p>
        </w:tc>
        <w:tc>
          <w:tcPr>
            <w:tcW w:w="1796" w:type="dxa"/>
            <w:tcBorders>
              <w:top w:val="single" w:sz="4" w:space="0" w:color="9BC2E6"/>
              <w:left w:val="nil"/>
              <w:bottom w:val="nil"/>
              <w:right w:val="nil"/>
            </w:tcBorders>
            <w:shd w:val="clear" w:color="DDEBF7" w:fill="DDEBF7"/>
            <w:noWrap/>
            <w:vAlign w:val="bottom"/>
            <w:hideMark/>
          </w:tcPr>
          <w:p w:rsidR="00B1221D" w:rsidRPr="00224519" w:rsidRDefault="00B678C2" w:rsidP="009E2067">
            <w:pPr>
              <w:jc w:val="right"/>
              <w:rPr>
                <w:rFonts w:ascii="Verdana" w:hAnsi="Verdana" w:cs="Calibri"/>
                <w:b/>
                <w:bCs/>
                <w:color w:val="000000"/>
                <w:sz w:val="18"/>
                <w:szCs w:val="24"/>
                <w:lang w:eastAsia="en-GB"/>
              </w:rPr>
            </w:pPr>
            <w:r w:rsidRPr="00224519">
              <w:rPr>
                <w:rFonts w:ascii="Verdana" w:hAnsi="Verdana" w:cs="Calibri"/>
                <w:b/>
                <w:bCs/>
                <w:color w:val="000000"/>
                <w:sz w:val="18"/>
                <w:szCs w:val="24"/>
                <w:lang w:eastAsia="en-GB"/>
              </w:rPr>
              <w:t>5</w:t>
            </w:r>
          </w:p>
        </w:tc>
        <w:tc>
          <w:tcPr>
            <w:tcW w:w="1457" w:type="dxa"/>
            <w:tcBorders>
              <w:top w:val="single" w:sz="4" w:space="0" w:color="9BC2E6"/>
              <w:left w:val="nil"/>
              <w:bottom w:val="nil"/>
              <w:right w:val="nil"/>
            </w:tcBorders>
            <w:shd w:val="clear" w:color="DDEBF7" w:fill="DDEBF7"/>
            <w:noWrap/>
            <w:vAlign w:val="bottom"/>
            <w:hideMark/>
          </w:tcPr>
          <w:p w:rsidR="00B1221D" w:rsidRPr="00224519" w:rsidRDefault="00B678C2" w:rsidP="009E2067">
            <w:pPr>
              <w:jc w:val="right"/>
              <w:rPr>
                <w:rFonts w:ascii="Verdana" w:hAnsi="Verdana" w:cs="Calibri"/>
                <w:b/>
                <w:bCs/>
                <w:color w:val="000000"/>
                <w:sz w:val="18"/>
                <w:szCs w:val="24"/>
                <w:lang w:eastAsia="en-GB"/>
              </w:rPr>
            </w:pPr>
            <w:r w:rsidRPr="00224519">
              <w:rPr>
                <w:rFonts w:ascii="Verdana" w:hAnsi="Verdana" w:cs="Calibri"/>
                <w:b/>
                <w:bCs/>
                <w:color w:val="000000"/>
                <w:sz w:val="18"/>
                <w:szCs w:val="24"/>
                <w:lang w:eastAsia="en-GB"/>
              </w:rPr>
              <w:t>3</w:t>
            </w:r>
          </w:p>
        </w:tc>
        <w:tc>
          <w:tcPr>
            <w:tcW w:w="1102" w:type="dxa"/>
            <w:tcBorders>
              <w:top w:val="single" w:sz="4" w:space="0" w:color="9BC2E6"/>
              <w:left w:val="nil"/>
              <w:bottom w:val="nil"/>
              <w:right w:val="nil"/>
            </w:tcBorders>
            <w:shd w:val="clear" w:color="DDEBF7" w:fill="DDEBF7"/>
            <w:noWrap/>
            <w:vAlign w:val="bottom"/>
            <w:hideMark/>
          </w:tcPr>
          <w:p w:rsidR="00B1221D" w:rsidRPr="00224519" w:rsidRDefault="00B678C2" w:rsidP="009E2067">
            <w:pPr>
              <w:jc w:val="right"/>
              <w:rPr>
                <w:rFonts w:ascii="Verdana" w:hAnsi="Verdana" w:cs="Calibri"/>
                <w:b/>
                <w:bCs/>
                <w:color w:val="000000"/>
                <w:sz w:val="18"/>
                <w:szCs w:val="24"/>
                <w:lang w:eastAsia="en-GB"/>
              </w:rPr>
            </w:pPr>
            <w:r w:rsidRPr="00224519">
              <w:rPr>
                <w:rFonts w:ascii="Verdana" w:hAnsi="Verdana" w:cs="Calibri"/>
                <w:b/>
                <w:bCs/>
                <w:color w:val="000000"/>
                <w:sz w:val="18"/>
                <w:szCs w:val="24"/>
                <w:lang w:eastAsia="en-GB"/>
              </w:rPr>
              <w:t>1</w:t>
            </w:r>
          </w:p>
        </w:tc>
        <w:tc>
          <w:tcPr>
            <w:tcW w:w="550" w:type="dxa"/>
            <w:tcBorders>
              <w:top w:val="single" w:sz="4" w:space="0" w:color="9BC2E6"/>
              <w:left w:val="nil"/>
              <w:bottom w:val="nil"/>
              <w:right w:val="nil"/>
            </w:tcBorders>
            <w:shd w:val="clear" w:color="DDEBF7" w:fill="DDEBF7"/>
          </w:tcPr>
          <w:p w:rsidR="00B1221D" w:rsidRPr="00224519" w:rsidRDefault="00B1221D" w:rsidP="009E2067">
            <w:pPr>
              <w:jc w:val="right"/>
              <w:rPr>
                <w:rFonts w:ascii="Verdana" w:hAnsi="Verdana" w:cs="Calibri"/>
                <w:b/>
                <w:bCs/>
                <w:color w:val="000000"/>
                <w:sz w:val="18"/>
                <w:szCs w:val="24"/>
                <w:lang w:eastAsia="en-GB"/>
              </w:rPr>
            </w:pPr>
          </w:p>
        </w:tc>
        <w:tc>
          <w:tcPr>
            <w:tcW w:w="996" w:type="dxa"/>
            <w:tcBorders>
              <w:top w:val="single" w:sz="4" w:space="0" w:color="9BC2E6"/>
              <w:left w:val="nil"/>
              <w:bottom w:val="nil"/>
              <w:right w:val="nil"/>
            </w:tcBorders>
            <w:shd w:val="clear" w:color="DDEBF7" w:fill="DDEBF7"/>
            <w:noWrap/>
            <w:vAlign w:val="bottom"/>
            <w:hideMark/>
          </w:tcPr>
          <w:p w:rsidR="00B1221D" w:rsidRPr="00224519" w:rsidRDefault="00B678C2" w:rsidP="009E2067">
            <w:pPr>
              <w:jc w:val="right"/>
              <w:rPr>
                <w:rFonts w:ascii="Verdana" w:hAnsi="Verdana" w:cs="Calibri"/>
                <w:b/>
                <w:bCs/>
                <w:color w:val="000000"/>
                <w:sz w:val="18"/>
                <w:szCs w:val="24"/>
                <w:lang w:eastAsia="en-GB"/>
              </w:rPr>
            </w:pPr>
            <w:r w:rsidRPr="00224519">
              <w:rPr>
                <w:rFonts w:ascii="Verdana" w:hAnsi="Verdana" w:cs="Calibri"/>
                <w:b/>
                <w:bCs/>
                <w:color w:val="000000"/>
                <w:sz w:val="18"/>
                <w:szCs w:val="24"/>
                <w:lang w:eastAsia="en-GB"/>
              </w:rPr>
              <w:t>20</w:t>
            </w:r>
          </w:p>
        </w:tc>
        <w:tc>
          <w:tcPr>
            <w:tcW w:w="1102" w:type="dxa"/>
            <w:tcBorders>
              <w:top w:val="single" w:sz="4" w:space="0" w:color="9BC2E6"/>
              <w:left w:val="nil"/>
              <w:bottom w:val="nil"/>
              <w:right w:val="nil"/>
            </w:tcBorders>
            <w:shd w:val="clear" w:color="DDEBF7" w:fill="DDEBF7"/>
            <w:noWrap/>
            <w:vAlign w:val="bottom"/>
            <w:hideMark/>
          </w:tcPr>
          <w:p w:rsidR="00B1221D" w:rsidRPr="00224519" w:rsidRDefault="00B678C2" w:rsidP="009E2067">
            <w:pPr>
              <w:jc w:val="right"/>
              <w:rPr>
                <w:rFonts w:ascii="Verdana" w:hAnsi="Verdana" w:cs="Calibri"/>
                <w:b/>
                <w:bCs/>
                <w:color w:val="000000"/>
                <w:sz w:val="18"/>
                <w:szCs w:val="24"/>
                <w:lang w:eastAsia="en-GB"/>
              </w:rPr>
            </w:pPr>
            <w:r w:rsidRPr="00224519">
              <w:rPr>
                <w:rFonts w:ascii="Verdana" w:hAnsi="Verdana" w:cs="Calibri"/>
                <w:b/>
                <w:bCs/>
                <w:color w:val="000000"/>
                <w:sz w:val="18"/>
                <w:szCs w:val="24"/>
                <w:lang w:eastAsia="en-GB"/>
              </w:rPr>
              <w:t>0</w:t>
            </w:r>
          </w:p>
        </w:tc>
        <w:tc>
          <w:tcPr>
            <w:tcW w:w="1196" w:type="dxa"/>
            <w:tcBorders>
              <w:top w:val="single" w:sz="4" w:space="0" w:color="9BC2E6"/>
              <w:left w:val="nil"/>
              <w:bottom w:val="nil"/>
              <w:right w:val="nil"/>
            </w:tcBorders>
            <w:shd w:val="clear" w:color="DDEBF7" w:fill="DDEBF7"/>
            <w:noWrap/>
            <w:vAlign w:val="bottom"/>
            <w:hideMark/>
          </w:tcPr>
          <w:p w:rsidR="00B1221D" w:rsidRPr="00224519" w:rsidRDefault="00B678C2" w:rsidP="009E2067">
            <w:pPr>
              <w:jc w:val="right"/>
              <w:rPr>
                <w:rFonts w:ascii="Verdana" w:hAnsi="Verdana" w:cs="Calibri"/>
                <w:b/>
                <w:bCs/>
                <w:color w:val="000000"/>
                <w:sz w:val="18"/>
                <w:szCs w:val="24"/>
                <w:lang w:eastAsia="en-GB"/>
              </w:rPr>
            </w:pPr>
            <w:r w:rsidRPr="00224519">
              <w:rPr>
                <w:rFonts w:ascii="Verdana" w:hAnsi="Verdana" w:cs="Calibri"/>
                <w:b/>
                <w:bCs/>
                <w:color w:val="000000"/>
                <w:sz w:val="18"/>
                <w:szCs w:val="24"/>
                <w:lang w:eastAsia="en-GB"/>
              </w:rPr>
              <w:t>29</w:t>
            </w:r>
          </w:p>
        </w:tc>
      </w:tr>
    </w:tbl>
    <w:p w:rsidR="00322B98" w:rsidRPr="00224519" w:rsidRDefault="00322B98" w:rsidP="00322B98">
      <w:pPr>
        <w:pStyle w:val="ListParagraph"/>
        <w:ind w:left="360"/>
        <w:jc w:val="both"/>
        <w:rPr>
          <w:rFonts w:ascii="Verdana" w:hAnsi="Verdana" w:cs="Arial"/>
          <w:sz w:val="24"/>
          <w:szCs w:val="24"/>
        </w:rPr>
      </w:pPr>
    </w:p>
    <w:p w:rsidR="00B1221D" w:rsidRPr="00224519" w:rsidRDefault="00B1221D" w:rsidP="0017564E">
      <w:pPr>
        <w:pStyle w:val="ListParagraph"/>
        <w:numPr>
          <w:ilvl w:val="0"/>
          <w:numId w:val="29"/>
        </w:numPr>
        <w:jc w:val="both"/>
        <w:rPr>
          <w:rFonts w:ascii="Verdana" w:hAnsi="Verdana" w:cs="Arial"/>
          <w:sz w:val="24"/>
          <w:szCs w:val="24"/>
        </w:rPr>
      </w:pPr>
      <w:r w:rsidRPr="00224519">
        <w:rPr>
          <w:rFonts w:ascii="Verdana" w:hAnsi="Verdana" w:cs="Arial"/>
          <w:sz w:val="24"/>
          <w:szCs w:val="24"/>
        </w:rPr>
        <w:t>The NCCU were unable to ascertain performance against the following NETPS framework improvements:-</w:t>
      </w:r>
    </w:p>
    <w:p w:rsidR="00B1221D" w:rsidRPr="00224519" w:rsidRDefault="00B1221D" w:rsidP="00B1221D">
      <w:pPr>
        <w:jc w:val="both"/>
        <w:rPr>
          <w:rFonts w:ascii="Verdana" w:hAnsi="Verdana" w:cs="Arial"/>
          <w:sz w:val="24"/>
          <w:szCs w:val="24"/>
        </w:rPr>
      </w:pPr>
    </w:p>
    <w:p w:rsidR="00B1221D" w:rsidRPr="00224519" w:rsidRDefault="00B1221D" w:rsidP="00B1221D">
      <w:pPr>
        <w:pStyle w:val="ListParagraph"/>
        <w:numPr>
          <w:ilvl w:val="0"/>
          <w:numId w:val="26"/>
        </w:numPr>
        <w:contextualSpacing w:val="0"/>
        <w:rPr>
          <w:rFonts w:ascii="Verdana" w:hAnsi="Verdana" w:cstheme="minorHAnsi"/>
          <w:sz w:val="24"/>
          <w:szCs w:val="24"/>
          <w:lang w:val="en-US"/>
        </w:rPr>
      </w:pPr>
      <w:r w:rsidRPr="00224519">
        <w:rPr>
          <w:rFonts w:ascii="Verdana" w:hAnsi="Verdana" w:cstheme="minorHAnsi"/>
          <w:sz w:val="24"/>
          <w:szCs w:val="24"/>
          <w:lang w:val="en-US"/>
        </w:rPr>
        <w:t xml:space="preserve">Develop infrastructure to be able identify how much is </w:t>
      </w:r>
      <w:r w:rsidR="00A90C21" w:rsidRPr="00224519">
        <w:rPr>
          <w:rFonts w:ascii="Verdana" w:hAnsi="Verdana" w:cstheme="minorHAnsi"/>
          <w:sz w:val="24"/>
          <w:szCs w:val="24"/>
          <w:lang w:val="en-US"/>
        </w:rPr>
        <w:t>spend at a HB level across the five</w:t>
      </w:r>
      <w:r w:rsidRPr="00224519">
        <w:rPr>
          <w:rFonts w:ascii="Verdana" w:hAnsi="Verdana" w:cstheme="minorHAnsi"/>
          <w:sz w:val="24"/>
          <w:szCs w:val="24"/>
          <w:lang w:val="en-US"/>
        </w:rPr>
        <w:t xml:space="preserve"> steps</w:t>
      </w:r>
      <w:r w:rsidR="00A90C21" w:rsidRPr="00224519">
        <w:rPr>
          <w:rFonts w:ascii="Verdana" w:hAnsi="Verdana" w:cstheme="minorHAnsi"/>
          <w:sz w:val="24"/>
          <w:szCs w:val="24"/>
          <w:lang w:val="en-US"/>
        </w:rPr>
        <w:t>;</w:t>
      </w:r>
    </w:p>
    <w:p w:rsidR="00B1221D" w:rsidRPr="00224519" w:rsidRDefault="00B1221D" w:rsidP="00B1221D">
      <w:pPr>
        <w:pStyle w:val="ListParagraph"/>
        <w:numPr>
          <w:ilvl w:val="0"/>
          <w:numId w:val="26"/>
        </w:numPr>
        <w:contextualSpacing w:val="0"/>
        <w:rPr>
          <w:rFonts w:ascii="Verdana" w:hAnsi="Verdana" w:cstheme="minorHAnsi"/>
          <w:sz w:val="24"/>
          <w:szCs w:val="24"/>
          <w:lang w:val="en-US"/>
        </w:rPr>
      </w:pPr>
      <w:r w:rsidRPr="00224519">
        <w:rPr>
          <w:rFonts w:ascii="Verdana" w:hAnsi="Verdana" w:cstheme="minorHAnsi"/>
          <w:sz w:val="24"/>
          <w:szCs w:val="24"/>
          <w:lang w:val="en-US"/>
        </w:rPr>
        <w:lastRenderedPageBreak/>
        <w:t>Update O3 Schedule – extant policies, protocols &amp; pathways following enactment of plurality model for each HB</w:t>
      </w:r>
      <w:r w:rsidR="00A90C21" w:rsidRPr="00224519">
        <w:rPr>
          <w:rFonts w:ascii="Verdana" w:hAnsi="Verdana" w:cstheme="minorHAnsi"/>
          <w:sz w:val="24"/>
          <w:szCs w:val="24"/>
          <w:lang w:val="en-US"/>
        </w:rPr>
        <w:t>;</w:t>
      </w:r>
    </w:p>
    <w:p w:rsidR="00B1221D" w:rsidRPr="00224519" w:rsidRDefault="00B1221D" w:rsidP="00B1221D">
      <w:pPr>
        <w:pStyle w:val="ListParagraph"/>
        <w:numPr>
          <w:ilvl w:val="0"/>
          <w:numId w:val="26"/>
        </w:numPr>
        <w:contextualSpacing w:val="0"/>
        <w:rPr>
          <w:rFonts w:ascii="Verdana" w:hAnsi="Verdana" w:cstheme="minorHAnsi"/>
          <w:sz w:val="24"/>
          <w:szCs w:val="24"/>
          <w:lang w:val="en-US"/>
        </w:rPr>
      </w:pPr>
      <w:r w:rsidRPr="00224519">
        <w:rPr>
          <w:rFonts w:ascii="Verdana" w:hAnsi="Verdana" w:cstheme="minorHAnsi"/>
          <w:sz w:val="24"/>
          <w:szCs w:val="24"/>
          <w:lang w:val="en-US"/>
        </w:rPr>
        <w:t>WAST undertake self-assessment related to the Core Requirements in Care Standards</w:t>
      </w:r>
      <w:r w:rsidR="00A90C21" w:rsidRPr="00224519">
        <w:rPr>
          <w:rFonts w:ascii="Verdana" w:hAnsi="Verdana" w:cstheme="minorHAnsi"/>
          <w:sz w:val="24"/>
          <w:szCs w:val="24"/>
          <w:lang w:val="en-US"/>
        </w:rPr>
        <w:t>;</w:t>
      </w:r>
    </w:p>
    <w:p w:rsidR="00B1221D" w:rsidRPr="00224519" w:rsidRDefault="00B1221D" w:rsidP="00B1221D">
      <w:pPr>
        <w:pStyle w:val="ListParagraph"/>
        <w:numPr>
          <w:ilvl w:val="0"/>
          <w:numId w:val="26"/>
        </w:numPr>
        <w:contextualSpacing w:val="0"/>
        <w:rPr>
          <w:rFonts w:ascii="Verdana" w:hAnsi="Verdana" w:cstheme="minorHAnsi"/>
          <w:sz w:val="24"/>
          <w:szCs w:val="24"/>
          <w:lang w:val="en-US"/>
        </w:rPr>
      </w:pPr>
      <w:r w:rsidRPr="00224519">
        <w:rPr>
          <w:rFonts w:ascii="Verdana" w:hAnsi="Verdana" w:cstheme="minorHAnsi"/>
          <w:sz w:val="24"/>
          <w:szCs w:val="24"/>
          <w:lang w:val="en-US"/>
        </w:rPr>
        <w:t>Evaluation programme for NEPTS overseen by</w:t>
      </w:r>
      <w:r w:rsidR="00A90C21" w:rsidRPr="00224519">
        <w:rPr>
          <w:rFonts w:ascii="Verdana" w:hAnsi="Verdana" w:cstheme="minorHAnsi"/>
          <w:sz w:val="24"/>
          <w:szCs w:val="24"/>
          <w:lang w:val="en-US"/>
        </w:rPr>
        <w:t xml:space="preserve"> </w:t>
      </w:r>
      <w:r w:rsidR="00A90C21" w:rsidRPr="00224519">
        <w:rPr>
          <w:rFonts w:ascii="Verdana" w:hAnsi="Verdana" w:cs="Arial"/>
          <w:sz w:val="24"/>
          <w:szCs w:val="24"/>
          <w:lang w:val="en-US"/>
        </w:rPr>
        <w:t>Planning Development Evaluation Group (</w:t>
      </w:r>
      <w:r w:rsidRPr="00224519">
        <w:rPr>
          <w:rFonts w:ascii="Verdana" w:hAnsi="Verdana" w:cstheme="minorHAnsi"/>
          <w:sz w:val="24"/>
          <w:szCs w:val="24"/>
          <w:lang w:val="en-US"/>
        </w:rPr>
        <w:t>PDEG</w:t>
      </w:r>
      <w:r w:rsidR="00A90C21" w:rsidRPr="00224519">
        <w:rPr>
          <w:rFonts w:ascii="Verdana" w:hAnsi="Verdana" w:cstheme="minorHAnsi"/>
          <w:sz w:val="24"/>
          <w:szCs w:val="24"/>
          <w:lang w:val="en-US"/>
        </w:rPr>
        <w:t>);</w:t>
      </w:r>
    </w:p>
    <w:p w:rsidR="00B1221D" w:rsidRPr="00224519" w:rsidRDefault="00B1221D" w:rsidP="00B1221D">
      <w:pPr>
        <w:pStyle w:val="ListParagraph"/>
        <w:numPr>
          <w:ilvl w:val="0"/>
          <w:numId w:val="26"/>
        </w:numPr>
        <w:contextualSpacing w:val="0"/>
        <w:rPr>
          <w:rFonts w:ascii="Verdana" w:hAnsi="Verdana" w:cstheme="minorHAnsi"/>
          <w:sz w:val="24"/>
          <w:szCs w:val="24"/>
          <w:lang w:val="en-US"/>
        </w:rPr>
      </w:pPr>
      <w:r w:rsidRPr="00224519">
        <w:rPr>
          <w:rFonts w:ascii="Verdana" w:hAnsi="Verdana" w:cstheme="minorHAnsi"/>
          <w:sz w:val="24"/>
          <w:szCs w:val="24"/>
          <w:lang w:val="en-US"/>
        </w:rPr>
        <w:t>Compliance with care standards for previously extant Health Board/WHSSC/Velindre services</w:t>
      </w:r>
      <w:r w:rsidR="00A90C21" w:rsidRPr="00224519">
        <w:rPr>
          <w:rFonts w:ascii="Verdana" w:hAnsi="Verdana" w:cstheme="minorHAnsi"/>
          <w:sz w:val="24"/>
          <w:szCs w:val="24"/>
          <w:lang w:val="en-US"/>
        </w:rPr>
        <w:t>;</w:t>
      </w:r>
    </w:p>
    <w:p w:rsidR="00B1221D" w:rsidRPr="00224519" w:rsidRDefault="00B1221D" w:rsidP="00B1221D">
      <w:pPr>
        <w:pStyle w:val="ListParagraph"/>
        <w:numPr>
          <w:ilvl w:val="0"/>
          <w:numId w:val="26"/>
        </w:numPr>
        <w:contextualSpacing w:val="0"/>
        <w:rPr>
          <w:rFonts w:ascii="Verdana" w:hAnsi="Verdana" w:cstheme="minorHAnsi"/>
          <w:sz w:val="24"/>
          <w:szCs w:val="24"/>
          <w:lang w:val="en-US"/>
        </w:rPr>
      </w:pPr>
      <w:r w:rsidRPr="00224519">
        <w:rPr>
          <w:rFonts w:ascii="Verdana" w:hAnsi="Verdana" w:cstheme="minorHAnsi"/>
          <w:sz w:val="24"/>
          <w:szCs w:val="24"/>
          <w:lang w:val="en-US"/>
        </w:rPr>
        <w:t xml:space="preserve">Compliance with core requirements of care standards </w:t>
      </w:r>
      <w:r w:rsidR="00A90C21" w:rsidRPr="00224519">
        <w:rPr>
          <w:rFonts w:ascii="Verdana" w:hAnsi="Verdana" w:cstheme="minorHAnsi"/>
          <w:sz w:val="24"/>
          <w:szCs w:val="24"/>
          <w:lang w:val="en-US"/>
        </w:rPr>
        <w:t>reported on a six monthly basis; and</w:t>
      </w:r>
    </w:p>
    <w:p w:rsidR="00B1221D" w:rsidRPr="00224519" w:rsidRDefault="00B1221D" w:rsidP="00B1221D">
      <w:pPr>
        <w:pStyle w:val="ListParagraph"/>
        <w:numPr>
          <w:ilvl w:val="0"/>
          <w:numId w:val="26"/>
        </w:numPr>
        <w:contextualSpacing w:val="0"/>
        <w:rPr>
          <w:rFonts w:ascii="Verdana" w:hAnsi="Verdana" w:cstheme="minorHAnsi"/>
          <w:sz w:val="24"/>
          <w:szCs w:val="24"/>
          <w:lang w:val="en-US"/>
        </w:rPr>
      </w:pPr>
      <w:r w:rsidRPr="00224519">
        <w:rPr>
          <w:rFonts w:ascii="Verdana" w:hAnsi="Verdana" w:cstheme="minorHAnsi"/>
          <w:sz w:val="24"/>
          <w:szCs w:val="24"/>
          <w:lang w:val="en-US"/>
        </w:rPr>
        <w:t>WAST to demonstrate savings and efficiencies in each HB following enactment of the plurality model</w:t>
      </w:r>
      <w:r w:rsidR="00A90C21" w:rsidRPr="00224519">
        <w:rPr>
          <w:rFonts w:ascii="Verdana" w:hAnsi="Verdana" w:cstheme="minorHAnsi"/>
          <w:sz w:val="24"/>
          <w:szCs w:val="24"/>
          <w:lang w:val="en-US"/>
        </w:rPr>
        <w:t>.</w:t>
      </w:r>
    </w:p>
    <w:p w:rsidR="00B1221D" w:rsidRPr="00224519" w:rsidRDefault="00B1221D" w:rsidP="00C60C5E">
      <w:pPr>
        <w:jc w:val="both"/>
        <w:rPr>
          <w:rFonts w:ascii="Verdana" w:hAnsi="Verdana" w:cs="Arial"/>
          <w:sz w:val="24"/>
          <w:szCs w:val="24"/>
        </w:rPr>
      </w:pPr>
    </w:p>
    <w:p w:rsidR="00B1221D" w:rsidRPr="00224519" w:rsidRDefault="004739A8" w:rsidP="0017564E">
      <w:pPr>
        <w:pStyle w:val="ListParagraph"/>
        <w:numPr>
          <w:ilvl w:val="0"/>
          <w:numId w:val="30"/>
        </w:numPr>
        <w:jc w:val="both"/>
        <w:rPr>
          <w:rFonts w:ascii="Verdana" w:hAnsi="Verdana" w:cs="Arial"/>
          <w:sz w:val="24"/>
          <w:szCs w:val="24"/>
        </w:rPr>
      </w:pPr>
      <w:r w:rsidRPr="00224519">
        <w:rPr>
          <w:rFonts w:ascii="Verdana" w:hAnsi="Verdana" w:cs="Arial"/>
          <w:sz w:val="24"/>
          <w:szCs w:val="24"/>
        </w:rPr>
        <w:t>WAST’s current position against each of these is detailed in the following paragraphs.</w:t>
      </w:r>
    </w:p>
    <w:p w:rsidR="000F67CD" w:rsidRPr="00224519" w:rsidRDefault="000F67CD" w:rsidP="000F67CD">
      <w:pPr>
        <w:pStyle w:val="ListParagraph"/>
        <w:ind w:left="360"/>
        <w:jc w:val="both"/>
        <w:rPr>
          <w:rFonts w:ascii="Verdana" w:hAnsi="Verdana" w:cs="Arial"/>
          <w:sz w:val="24"/>
          <w:szCs w:val="24"/>
        </w:rPr>
      </w:pPr>
    </w:p>
    <w:p w:rsidR="004739A8" w:rsidRPr="00224519" w:rsidRDefault="000F67CD" w:rsidP="0017564E">
      <w:pPr>
        <w:pStyle w:val="ListParagraph"/>
        <w:numPr>
          <w:ilvl w:val="0"/>
          <w:numId w:val="31"/>
        </w:numPr>
        <w:jc w:val="both"/>
        <w:rPr>
          <w:rFonts w:ascii="Verdana" w:hAnsi="Verdana" w:cs="Arial"/>
          <w:sz w:val="24"/>
          <w:szCs w:val="24"/>
        </w:rPr>
      </w:pPr>
      <w:r w:rsidRPr="00224519">
        <w:rPr>
          <w:rFonts w:ascii="Verdana" w:hAnsi="Verdana" w:cs="Arial"/>
          <w:sz w:val="24"/>
          <w:szCs w:val="24"/>
        </w:rPr>
        <w:t>L</w:t>
      </w:r>
      <w:r w:rsidR="004D5087" w:rsidRPr="00224519">
        <w:rPr>
          <w:rFonts w:ascii="Verdana" w:hAnsi="Verdana" w:cs="Arial"/>
          <w:sz w:val="24"/>
          <w:szCs w:val="24"/>
        </w:rPr>
        <w:t xml:space="preserve">ocal measures are </w:t>
      </w:r>
      <w:r w:rsidRPr="00224519">
        <w:rPr>
          <w:rFonts w:ascii="Verdana" w:hAnsi="Verdana" w:cs="Arial"/>
          <w:sz w:val="24"/>
          <w:szCs w:val="24"/>
        </w:rPr>
        <w:t xml:space="preserve">in place to monitor </w:t>
      </w:r>
      <w:r w:rsidR="00A90C21" w:rsidRPr="00224519">
        <w:rPr>
          <w:rFonts w:ascii="Verdana" w:hAnsi="Verdana" w:cs="Arial"/>
          <w:sz w:val="24"/>
          <w:szCs w:val="24"/>
        </w:rPr>
        <w:t>spend across the five</w:t>
      </w:r>
      <w:r w:rsidR="004D5087" w:rsidRPr="00224519">
        <w:rPr>
          <w:rFonts w:ascii="Verdana" w:hAnsi="Verdana" w:cs="Arial"/>
          <w:sz w:val="24"/>
          <w:szCs w:val="24"/>
        </w:rPr>
        <w:t xml:space="preserve"> steps </w:t>
      </w:r>
      <w:r w:rsidRPr="00224519">
        <w:rPr>
          <w:rFonts w:ascii="Verdana" w:hAnsi="Verdana" w:cs="Arial"/>
          <w:sz w:val="24"/>
          <w:szCs w:val="24"/>
        </w:rPr>
        <w:t xml:space="preserve">alongside transfer of work. </w:t>
      </w:r>
      <w:r w:rsidR="004D5087" w:rsidRPr="00224519">
        <w:rPr>
          <w:rFonts w:ascii="Verdana" w:hAnsi="Verdana" w:cs="Arial"/>
          <w:sz w:val="24"/>
          <w:szCs w:val="24"/>
        </w:rPr>
        <w:t>Because the transfers of work are not complete arrangements for monitoring spend cannot be complete</w:t>
      </w:r>
      <w:r w:rsidR="007D3DB4" w:rsidRPr="00224519">
        <w:rPr>
          <w:rFonts w:ascii="Verdana" w:hAnsi="Verdana" w:cs="Arial"/>
          <w:sz w:val="24"/>
          <w:szCs w:val="24"/>
        </w:rPr>
        <w:t>d</w:t>
      </w:r>
      <w:r w:rsidR="004D5087" w:rsidRPr="00224519">
        <w:rPr>
          <w:rFonts w:ascii="Verdana" w:hAnsi="Verdana" w:cs="Arial"/>
          <w:sz w:val="24"/>
          <w:szCs w:val="24"/>
        </w:rPr>
        <w:t xml:space="preserve">.  </w:t>
      </w:r>
    </w:p>
    <w:p w:rsidR="000F67CD" w:rsidRPr="00224519" w:rsidRDefault="000F67CD" w:rsidP="000F67CD">
      <w:pPr>
        <w:pStyle w:val="ListParagraph"/>
        <w:rPr>
          <w:rFonts w:ascii="Verdana" w:hAnsi="Verdana" w:cs="Arial"/>
          <w:sz w:val="24"/>
          <w:szCs w:val="24"/>
        </w:rPr>
      </w:pPr>
    </w:p>
    <w:p w:rsidR="004D5087" w:rsidRPr="00224519" w:rsidRDefault="004D5087" w:rsidP="0017564E">
      <w:pPr>
        <w:pStyle w:val="ListParagraph"/>
        <w:numPr>
          <w:ilvl w:val="0"/>
          <w:numId w:val="32"/>
        </w:numPr>
        <w:jc w:val="both"/>
        <w:rPr>
          <w:rFonts w:ascii="Verdana" w:hAnsi="Verdana" w:cs="Arial"/>
          <w:sz w:val="24"/>
          <w:szCs w:val="24"/>
        </w:rPr>
      </w:pPr>
      <w:r w:rsidRPr="00224519">
        <w:rPr>
          <w:rFonts w:ascii="Verdana" w:hAnsi="Verdana" w:cs="Arial"/>
          <w:sz w:val="24"/>
          <w:szCs w:val="24"/>
        </w:rPr>
        <w:t xml:space="preserve">The O3 schedule, which will set out the policies, protocols and pathways for NEPTS cannot be complete until all transfers are complete. The intention is in progress, but dependent on completing the remaining transfers of work. </w:t>
      </w:r>
    </w:p>
    <w:p w:rsidR="004D5087" w:rsidRPr="00224519" w:rsidRDefault="004D5087" w:rsidP="004D5087">
      <w:pPr>
        <w:pStyle w:val="ListParagraph"/>
        <w:rPr>
          <w:rFonts w:ascii="Verdana" w:hAnsi="Verdana" w:cs="Arial"/>
          <w:sz w:val="24"/>
          <w:szCs w:val="24"/>
        </w:rPr>
      </w:pPr>
    </w:p>
    <w:p w:rsidR="004D5087" w:rsidRPr="00224519" w:rsidRDefault="004D5087" w:rsidP="0017564E">
      <w:pPr>
        <w:pStyle w:val="ListParagraph"/>
        <w:numPr>
          <w:ilvl w:val="0"/>
          <w:numId w:val="33"/>
        </w:numPr>
        <w:jc w:val="both"/>
        <w:rPr>
          <w:rFonts w:ascii="Verdana" w:hAnsi="Verdana" w:cs="Arial"/>
          <w:sz w:val="24"/>
          <w:szCs w:val="24"/>
        </w:rPr>
      </w:pPr>
      <w:r w:rsidRPr="00224519">
        <w:rPr>
          <w:rFonts w:ascii="Verdana" w:hAnsi="Verdana" w:cs="Arial"/>
          <w:sz w:val="24"/>
          <w:szCs w:val="24"/>
        </w:rPr>
        <w:t>As per the EMS commissioning intentions, WAST acknowledges that it has not completed a self-assessment against the core requirements. For 2020/21 it has been agreed that this will be annual, rather than twice a year, and will be supported by an agreed (between NCCU/WAST) improvement plan. A self-assessment will be completed in Quarter 4 2019/20.</w:t>
      </w:r>
    </w:p>
    <w:p w:rsidR="000F67CD" w:rsidRPr="00224519" w:rsidRDefault="000F67CD" w:rsidP="000F67CD">
      <w:pPr>
        <w:pStyle w:val="ListParagraph"/>
        <w:rPr>
          <w:rFonts w:ascii="Verdana" w:hAnsi="Verdana" w:cs="Arial"/>
          <w:sz w:val="24"/>
          <w:szCs w:val="24"/>
        </w:rPr>
      </w:pPr>
    </w:p>
    <w:p w:rsidR="000F67CD" w:rsidRPr="00224519" w:rsidRDefault="000F67CD" w:rsidP="0017564E">
      <w:pPr>
        <w:pStyle w:val="ListParagraph"/>
        <w:numPr>
          <w:ilvl w:val="0"/>
          <w:numId w:val="34"/>
        </w:numPr>
        <w:jc w:val="both"/>
        <w:rPr>
          <w:rFonts w:ascii="Verdana" w:hAnsi="Verdana" w:cs="Arial"/>
          <w:sz w:val="24"/>
          <w:szCs w:val="24"/>
        </w:rPr>
      </w:pPr>
      <w:r w:rsidRPr="00224519">
        <w:rPr>
          <w:rFonts w:ascii="Verdana" w:hAnsi="Verdana" w:cs="Arial"/>
          <w:sz w:val="24"/>
          <w:szCs w:val="24"/>
        </w:rPr>
        <w:t>No evaluation programme has been agreed between the NCCU and WAST at this point in time. Agreeing the programme requires collaboration between both parties. The programme would be reported to NEPTS D</w:t>
      </w:r>
      <w:r w:rsidR="00A90C21" w:rsidRPr="00224519">
        <w:rPr>
          <w:rFonts w:ascii="Verdana" w:hAnsi="Verdana" w:cs="Arial"/>
          <w:sz w:val="24"/>
          <w:szCs w:val="24"/>
        </w:rPr>
        <w:t xml:space="preserve">elivery Assurance Group </w:t>
      </w:r>
      <w:r w:rsidRPr="00224519">
        <w:rPr>
          <w:rFonts w:ascii="Verdana" w:hAnsi="Verdana" w:cs="Arial"/>
          <w:sz w:val="24"/>
          <w:szCs w:val="24"/>
        </w:rPr>
        <w:t>now.</w:t>
      </w:r>
    </w:p>
    <w:p w:rsidR="000F67CD" w:rsidRPr="00224519" w:rsidRDefault="000F67CD" w:rsidP="000F67CD">
      <w:pPr>
        <w:pStyle w:val="ListParagraph"/>
        <w:rPr>
          <w:rFonts w:ascii="Verdana" w:hAnsi="Verdana" w:cs="Arial"/>
          <w:sz w:val="24"/>
          <w:szCs w:val="24"/>
        </w:rPr>
      </w:pPr>
    </w:p>
    <w:p w:rsidR="000F67CD" w:rsidRPr="00224519" w:rsidRDefault="004D5087" w:rsidP="0017564E">
      <w:pPr>
        <w:pStyle w:val="ListParagraph"/>
        <w:numPr>
          <w:ilvl w:val="0"/>
          <w:numId w:val="35"/>
        </w:numPr>
        <w:jc w:val="both"/>
        <w:rPr>
          <w:rFonts w:ascii="Verdana" w:hAnsi="Verdana" w:cs="Arial"/>
          <w:sz w:val="24"/>
          <w:szCs w:val="24"/>
        </w:rPr>
      </w:pPr>
      <w:r w:rsidRPr="00224519">
        <w:rPr>
          <w:rFonts w:ascii="Verdana" w:hAnsi="Verdana" w:cs="Arial"/>
          <w:sz w:val="24"/>
          <w:szCs w:val="24"/>
        </w:rPr>
        <w:t>WAST acknowledges a p</w:t>
      </w:r>
      <w:r w:rsidR="000F67CD" w:rsidRPr="00224519">
        <w:rPr>
          <w:rFonts w:ascii="Verdana" w:hAnsi="Verdana" w:cs="Arial"/>
          <w:sz w:val="24"/>
          <w:szCs w:val="24"/>
        </w:rPr>
        <w:t xml:space="preserve">lan </w:t>
      </w:r>
      <w:r w:rsidRPr="00224519">
        <w:rPr>
          <w:rFonts w:ascii="Verdana" w:hAnsi="Verdana" w:cs="Arial"/>
          <w:sz w:val="24"/>
          <w:szCs w:val="24"/>
        </w:rPr>
        <w:t xml:space="preserve">is </w:t>
      </w:r>
      <w:r w:rsidR="000F67CD" w:rsidRPr="00224519">
        <w:rPr>
          <w:rFonts w:ascii="Verdana" w:hAnsi="Verdana" w:cs="Arial"/>
          <w:sz w:val="24"/>
          <w:szCs w:val="24"/>
        </w:rPr>
        <w:t>required for self-assessment against the care standards</w:t>
      </w:r>
      <w:r w:rsidRPr="00224519">
        <w:rPr>
          <w:rFonts w:ascii="Verdana" w:hAnsi="Verdana" w:cs="Arial"/>
          <w:sz w:val="24"/>
          <w:szCs w:val="24"/>
        </w:rPr>
        <w:t>. Th</w:t>
      </w:r>
      <w:r w:rsidR="00A90C21" w:rsidRPr="00224519">
        <w:rPr>
          <w:rFonts w:ascii="Verdana" w:hAnsi="Verdana" w:cs="Arial"/>
          <w:sz w:val="24"/>
          <w:szCs w:val="24"/>
        </w:rPr>
        <w:t>is is not in place at this time due to the focus on transfers and transformation of NEPTS.</w:t>
      </w:r>
    </w:p>
    <w:p w:rsidR="000F67CD" w:rsidRPr="00224519" w:rsidRDefault="000F67CD" w:rsidP="000F67CD">
      <w:pPr>
        <w:pStyle w:val="ListParagraph"/>
        <w:rPr>
          <w:rFonts w:ascii="Verdana" w:hAnsi="Verdana" w:cs="Arial"/>
          <w:sz w:val="24"/>
          <w:szCs w:val="24"/>
        </w:rPr>
      </w:pPr>
    </w:p>
    <w:p w:rsidR="000F67CD" w:rsidRPr="00224519" w:rsidRDefault="004D5087" w:rsidP="0017564E">
      <w:pPr>
        <w:pStyle w:val="ListParagraph"/>
        <w:numPr>
          <w:ilvl w:val="0"/>
          <w:numId w:val="36"/>
        </w:numPr>
        <w:jc w:val="both"/>
        <w:rPr>
          <w:rFonts w:ascii="Verdana" w:hAnsi="Verdana" w:cs="Arial"/>
          <w:sz w:val="24"/>
          <w:szCs w:val="24"/>
        </w:rPr>
      </w:pPr>
      <w:r w:rsidRPr="00224519">
        <w:rPr>
          <w:rFonts w:ascii="Verdana" w:hAnsi="Verdana" w:cs="Arial"/>
          <w:sz w:val="24"/>
          <w:szCs w:val="24"/>
        </w:rPr>
        <w:t xml:space="preserve">Compliance with the core requirements is dependent on their self-assessment (see </w:t>
      </w:r>
      <w:r w:rsidR="00A90C21" w:rsidRPr="00224519">
        <w:rPr>
          <w:rFonts w:ascii="Verdana" w:hAnsi="Verdana" w:cs="Arial"/>
          <w:sz w:val="24"/>
          <w:szCs w:val="24"/>
        </w:rPr>
        <w:t>paragraph 25</w:t>
      </w:r>
      <w:r w:rsidRPr="00224519">
        <w:rPr>
          <w:rFonts w:ascii="Verdana" w:hAnsi="Verdana" w:cs="Arial"/>
          <w:sz w:val="24"/>
          <w:szCs w:val="24"/>
        </w:rPr>
        <w:t xml:space="preserve"> above).</w:t>
      </w:r>
    </w:p>
    <w:p w:rsidR="000F67CD" w:rsidRPr="00224519" w:rsidRDefault="000F67CD" w:rsidP="000F67CD">
      <w:pPr>
        <w:pStyle w:val="ListParagraph"/>
        <w:rPr>
          <w:rFonts w:ascii="Verdana" w:hAnsi="Verdana" w:cs="Arial"/>
          <w:sz w:val="24"/>
          <w:szCs w:val="24"/>
        </w:rPr>
      </w:pPr>
    </w:p>
    <w:p w:rsidR="000F67CD" w:rsidRPr="00224519" w:rsidRDefault="004D5087" w:rsidP="0017564E">
      <w:pPr>
        <w:pStyle w:val="ListParagraph"/>
        <w:numPr>
          <w:ilvl w:val="0"/>
          <w:numId w:val="37"/>
        </w:numPr>
        <w:jc w:val="both"/>
        <w:rPr>
          <w:rFonts w:ascii="Verdana" w:hAnsi="Verdana" w:cs="Arial"/>
          <w:sz w:val="24"/>
          <w:szCs w:val="24"/>
        </w:rPr>
      </w:pPr>
      <w:r w:rsidRPr="00224519">
        <w:rPr>
          <w:rFonts w:ascii="Verdana" w:hAnsi="Verdana" w:cs="Arial"/>
          <w:sz w:val="24"/>
          <w:szCs w:val="24"/>
        </w:rPr>
        <w:t>The demonstration of savings is in progress, but cannot be completed until the transfers of work are completed.</w:t>
      </w:r>
    </w:p>
    <w:p w:rsidR="000F67CD" w:rsidRPr="00224519" w:rsidRDefault="000F67CD" w:rsidP="000F67CD">
      <w:pPr>
        <w:pStyle w:val="ListParagraph"/>
        <w:rPr>
          <w:rFonts w:ascii="Verdana" w:hAnsi="Verdana" w:cs="Arial"/>
          <w:sz w:val="24"/>
          <w:szCs w:val="24"/>
        </w:rPr>
      </w:pPr>
    </w:p>
    <w:p w:rsidR="00CD650E" w:rsidRPr="00224519" w:rsidRDefault="004D5087" w:rsidP="0017564E">
      <w:pPr>
        <w:pStyle w:val="ListParagraph"/>
        <w:numPr>
          <w:ilvl w:val="0"/>
          <w:numId w:val="38"/>
        </w:numPr>
        <w:jc w:val="both"/>
        <w:rPr>
          <w:rFonts w:ascii="Verdana" w:hAnsi="Verdana" w:cs="Arial"/>
          <w:sz w:val="24"/>
          <w:szCs w:val="24"/>
          <w:lang w:val="en-US"/>
        </w:rPr>
      </w:pPr>
      <w:r w:rsidRPr="00224519">
        <w:rPr>
          <w:rFonts w:ascii="Verdana" w:hAnsi="Verdana" w:cs="Arial"/>
          <w:sz w:val="24"/>
          <w:szCs w:val="24"/>
          <w:lang w:val="en-US"/>
        </w:rPr>
        <w:lastRenderedPageBreak/>
        <w:t xml:space="preserve">The NCCU Nov-19 commissioning intentions report also detailed the position on the EMS &amp; NEPTS joint performance improvements.  </w:t>
      </w:r>
      <w:r w:rsidR="00DF7ADB" w:rsidRPr="00224519">
        <w:rPr>
          <w:rFonts w:ascii="Verdana" w:hAnsi="Verdana" w:cs="Arial"/>
          <w:sz w:val="24"/>
          <w:szCs w:val="24"/>
          <w:lang w:val="en-US"/>
        </w:rPr>
        <w:t>Monitoring of the WAST &amp; Health Board Joint Service Initiatives (</w:t>
      </w:r>
      <w:r w:rsidRPr="00224519">
        <w:rPr>
          <w:rFonts w:ascii="Verdana" w:hAnsi="Verdana" w:cs="Arial"/>
          <w:sz w:val="24"/>
          <w:szCs w:val="24"/>
          <w:lang w:val="en-US"/>
        </w:rPr>
        <w:t xml:space="preserve">referred to as </w:t>
      </w:r>
      <w:r w:rsidR="00DF7ADB" w:rsidRPr="00224519">
        <w:rPr>
          <w:rFonts w:ascii="Verdana" w:hAnsi="Verdana" w:cs="Arial"/>
          <w:sz w:val="24"/>
          <w:szCs w:val="24"/>
          <w:lang w:val="en-US"/>
        </w:rPr>
        <w:t>Template 2s) were</w:t>
      </w:r>
      <w:r w:rsidRPr="00224519">
        <w:rPr>
          <w:rFonts w:ascii="Verdana" w:hAnsi="Verdana" w:cs="Arial"/>
          <w:sz w:val="24"/>
          <w:szCs w:val="24"/>
          <w:lang w:val="en-US"/>
        </w:rPr>
        <w:t xml:space="preserve"> </w:t>
      </w:r>
      <w:r w:rsidR="00DF7ADB" w:rsidRPr="00224519">
        <w:rPr>
          <w:rFonts w:ascii="Verdana" w:hAnsi="Verdana" w:cs="Arial"/>
          <w:sz w:val="24"/>
          <w:szCs w:val="24"/>
          <w:lang w:val="en-US"/>
        </w:rPr>
        <w:t>initially reported and monitored through a bespoke progress report presented by WAST at the quarterly PDEG</w:t>
      </w:r>
      <w:r w:rsidR="00A90C21" w:rsidRPr="00224519">
        <w:rPr>
          <w:rFonts w:ascii="Verdana" w:hAnsi="Verdana" w:cs="Arial"/>
          <w:sz w:val="24"/>
          <w:szCs w:val="24"/>
          <w:lang w:val="en-US"/>
        </w:rPr>
        <w:t xml:space="preserve"> </w:t>
      </w:r>
      <w:r w:rsidR="00DF7ADB" w:rsidRPr="00224519">
        <w:rPr>
          <w:rFonts w:ascii="Verdana" w:hAnsi="Verdana" w:cs="Arial"/>
          <w:sz w:val="24"/>
          <w:szCs w:val="24"/>
          <w:lang w:val="en-US"/>
        </w:rPr>
        <w:t xml:space="preserve">meetings. Following </w:t>
      </w:r>
      <w:r w:rsidR="00CD650E" w:rsidRPr="00224519">
        <w:rPr>
          <w:rFonts w:ascii="Verdana" w:hAnsi="Verdana" w:cs="Arial"/>
          <w:sz w:val="24"/>
          <w:szCs w:val="24"/>
          <w:lang w:val="en-US"/>
        </w:rPr>
        <w:t xml:space="preserve">PDEG </w:t>
      </w:r>
      <w:r w:rsidR="00DF7ADB" w:rsidRPr="00224519">
        <w:rPr>
          <w:rFonts w:ascii="Verdana" w:hAnsi="Verdana" w:cs="Arial"/>
          <w:sz w:val="24"/>
          <w:szCs w:val="24"/>
          <w:lang w:val="en-US"/>
        </w:rPr>
        <w:t>being closed down it was agreed that quarterly progress updates would be uploaded directly onto Airtable following WAST submission to the CASC office. To support this revised approach, further work was undertaken to refine the structure of Airtable with a quarterly progress reporting section and RAG column added to the templates.</w:t>
      </w:r>
      <w:r w:rsidR="00A90C21" w:rsidRPr="00224519">
        <w:rPr>
          <w:rFonts w:ascii="Verdana" w:hAnsi="Verdana" w:cs="Arial"/>
          <w:sz w:val="24"/>
          <w:szCs w:val="24"/>
          <w:lang w:val="en-US"/>
        </w:rPr>
        <w:t xml:space="preserve"> Progress will</w:t>
      </w:r>
      <w:r w:rsidR="00DF7ADB" w:rsidRPr="00224519">
        <w:rPr>
          <w:rFonts w:ascii="Verdana" w:hAnsi="Verdana" w:cs="Arial"/>
          <w:sz w:val="24"/>
          <w:szCs w:val="24"/>
          <w:lang w:val="en-US"/>
        </w:rPr>
        <w:t xml:space="preserve"> continue to be reported on a quarterly basis. The Q2 update was</w:t>
      </w:r>
      <w:r w:rsidR="00CD650E" w:rsidRPr="00224519">
        <w:rPr>
          <w:rFonts w:ascii="Verdana" w:hAnsi="Verdana" w:cs="Arial"/>
          <w:sz w:val="24"/>
          <w:szCs w:val="24"/>
          <w:lang w:val="en-US"/>
        </w:rPr>
        <w:t xml:space="preserve"> uploaded to Airtable in Oct-19</w:t>
      </w:r>
      <w:r w:rsidR="00DF7ADB" w:rsidRPr="00224519">
        <w:rPr>
          <w:rFonts w:ascii="Verdana" w:hAnsi="Verdana" w:cs="Arial"/>
          <w:sz w:val="24"/>
          <w:szCs w:val="24"/>
          <w:lang w:val="en-US"/>
        </w:rPr>
        <w:t xml:space="preserve"> and as per the agr</w:t>
      </w:r>
      <w:r w:rsidR="00CD650E" w:rsidRPr="00224519">
        <w:rPr>
          <w:rFonts w:ascii="Verdana" w:hAnsi="Verdana" w:cs="Arial"/>
          <w:sz w:val="24"/>
          <w:szCs w:val="24"/>
          <w:lang w:val="en-US"/>
        </w:rPr>
        <w:t>eed schedule the Q3 update will be sent to the NCCU by early Feb-20.</w:t>
      </w:r>
    </w:p>
    <w:p w:rsidR="00CD650E" w:rsidRPr="00224519" w:rsidRDefault="00CD650E" w:rsidP="00CD650E">
      <w:pPr>
        <w:pStyle w:val="ListParagraph"/>
        <w:rPr>
          <w:rFonts w:ascii="Verdana" w:hAnsi="Verdana" w:cs="Arial"/>
          <w:sz w:val="24"/>
          <w:szCs w:val="24"/>
          <w:lang w:val="en-US"/>
        </w:rPr>
      </w:pPr>
    </w:p>
    <w:p w:rsidR="007D3DB4" w:rsidRPr="00224519" w:rsidRDefault="007D3DB4" w:rsidP="0017564E">
      <w:pPr>
        <w:pStyle w:val="ListParagraph"/>
        <w:numPr>
          <w:ilvl w:val="0"/>
          <w:numId w:val="39"/>
        </w:numPr>
        <w:jc w:val="both"/>
        <w:rPr>
          <w:rFonts w:ascii="Verdana" w:hAnsi="Verdana" w:cs="Arial"/>
          <w:sz w:val="24"/>
          <w:szCs w:val="24"/>
        </w:rPr>
      </w:pPr>
      <w:r w:rsidRPr="00224519">
        <w:rPr>
          <w:rFonts w:ascii="Verdana" w:hAnsi="Verdana" w:cs="Arial"/>
          <w:sz w:val="24"/>
          <w:szCs w:val="24"/>
        </w:rPr>
        <w:t xml:space="preserve">Finally, quarter 4 will provide a further opportunity to report progress and report progress for the year end.  </w:t>
      </w:r>
    </w:p>
    <w:p w:rsidR="007D3DB4" w:rsidRPr="00224519" w:rsidRDefault="007D3DB4" w:rsidP="007D3DB4">
      <w:pPr>
        <w:pStyle w:val="ListParagraph"/>
        <w:ind w:left="360"/>
        <w:jc w:val="both"/>
        <w:rPr>
          <w:rFonts w:ascii="Verdana" w:hAnsi="Verdana" w:cs="Arial"/>
          <w:sz w:val="24"/>
          <w:szCs w:val="24"/>
        </w:rPr>
      </w:pPr>
    </w:p>
    <w:p w:rsidR="00B25AE4" w:rsidRPr="00224519" w:rsidRDefault="00A9059F" w:rsidP="007D3DB4">
      <w:pPr>
        <w:jc w:val="both"/>
        <w:rPr>
          <w:rFonts w:ascii="Verdana" w:hAnsi="Verdana" w:cs="Arial"/>
          <w:b/>
          <w:sz w:val="24"/>
          <w:szCs w:val="24"/>
        </w:rPr>
      </w:pPr>
      <w:r w:rsidRPr="00224519">
        <w:rPr>
          <w:rFonts w:ascii="Verdana" w:hAnsi="Verdana" w:cs="Arial"/>
          <w:b/>
          <w:sz w:val="24"/>
          <w:szCs w:val="24"/>
        </w:rPr>
        <w:t>RECOMMENDED:</w:t>
      </w:r>
      <w:r w:rsidR="00383415" w:rsidRPr="00224519">
        <w:rPr>
          <w:rFonts w:ascii="Verdana" w:hAnsi="Verdana" w:cs="Arial"/>
          <w:b/>
          <w:sz w:val="24"/>
          <w:szCs w:val="24"/>
        </w:rPr>
        <w:t xml:space="preserve">  </w:t>
      </w:r>
    </w:p>
    <w:p w:rsidR="007568FC" w:rsidRPr="00224519" w:rsidRDefault="007568FC" w:rsidP="003B5231">
      <w:pPr>
        <w:jc w:val="both"/>
        <w:rPr>
          <w:rFonts w:ascii="Verdana" w:hAnsi="Verdana" w:cs="Arial"/>
          <w:b/>
          <w:sz w:val="24"/>
          <w:szCs w:val="24"/>
        </w:rPr>
      </w:pPr>
    </w:p>
    <w:p w:rsidR="00974449" w:rsidRPr="00224519" w:rsidRDefault="007568FC" w:rsidP="00974449">
      <w:pPr>
        <w:autoSpaceDE w:val="0"/>
        <w:autoSpaceDN w:val="0"/>
        <w:adjustRightInd w:val="0"/>
        <w:jc w:val="both"/>
        <w:rPr>
          <w:rFonts w:ascii="Verdana" w:hAnsi="Verdana" w:cs="Arial"/>
          <w:color w:val="000000"/>
          <w:sz w:val="24"/>
          <w:szCs w:val="24"/>
        </w:rPr>
      </w:pPr>
      <w:r w:rsidRPr="00224519">
        <w:rPr>
          <w:rFonts w:ascii="Verdana" w:hAnsi="Verdana" w:cs="Arial"/>
          <w:b/>
          <w:sz w:val="24"/>
          <w:szCs w:val="24"/>
        </w:rPr>
        <w:t xml:space="preserve">That </w:t>
      </w:r>
      <w:r w:rsidR="00F572D6" w:rsidRPr="00224519">
        <w:rPr>
          <w:rFonts w:ascii="Verdana" w:hAnsi="Verdana" w:cs="Arial"/>
          <w:b/>
          <w:sz w:val="24"/>
          <w:szCs w:val="24"/>
        </w:rPr>
        <w:t>EASC</w:t>
      </w:r>
      <w:r w:rsidR="00224519">
        <w:rPr>
          <w:rFonts w:ascii="Verdana" w:hAnsi="Verdana" w:cs="Arial"/>
          <w:b/>
          <w:sz w:val="24"/>
          <w:szCs w:val="24"/>
        </w:rPr>
        <w:t>:</w:t>
      </w:r>
    </w:p>
    <w:p w:rsidR="00974449" w:rsidRPr="00224519" w:rsidRDefault="00974449" w:rsidP="00974449">
      <w:pPr>
        <w:pStyle w:val="ListParagraph"/>
        <w:numPr>
          <w:ilvl w:val="0"/>
          <w:numId w:val="3"/>
        </w:numPr>
        <w:jc w:val="both"/>
        <w:rPr>
          <w:rFonts w:ascii="Verdana" w:hAnsi="Verdana" w:cs="Arial"/>
          <w:b/>
          <w:sz w:val="24"/>
          <w:szCs w:val="24"/>
        </w:rPr>
      </w:pPr>
      <w:r w:rsidRPr="00224519">
        <w:rPr>
          <w:rFonts w:ascii="Verdana" w:hAnsi="Verdana" w:cs="Arial"/>
          <w:b/>
          <w:color w:val="000000"/>
          <w:sz w:val="24"/>
          <w:szCs w:val="24"/>
        </w:rPr>
        <w:t xml:space="preserve">Discuss </w:t>
      </w:r>
      <w:r w:rsidRPr="00224519">
        <w:rPr>
          <w:rFonts w:ascii="Verdana" w:hAnsi="Verdana" w:cs="Arial"/>
          <w:color w:val="000000"/>
          <w:sz w:val="24"/>
          <w:szCs w:val="24"/>
        </w:rPr>
        <w:t>the contents of the</w:t>
      </w:r>
      <w:r w:rsidR="007D3DB4" w:rsidRPr="00224519">
        <w:rPr>
          <w:rFonts w:ascii="Verdana" w:hAnsi="Verdana" w:cs="Arial"/>
          <w:color w:val="000000"/>
          <w:sz w:val="24"/>
          <w:szCs w:val="24"/>
        </w:rPr>
        <w:t xml:space="preserve"> report.</w:t>
      </w:r>
    </w:p>
    <w:p w:rsidR="00974449" w:rsidRPr="00224519" w:rsidRDefault="00974449" w:rsidP="00974449">
      <w:pPr>
        <w:pStyle w:val="ListParagraph"/>
        <w:numPr>
          <w:ilvl w:val="0"/>
          <w:numId w:val="3"/>
        </w:numPr>
        <w:jc w:val="both"/>
        <w:rPr>
          <w:rFonts w:ascii="Verdana" w:hAnsi="Verdana" w:cs="Arial"/>
          <w:b/>
          <w:sz w:val="24"/>
          <w:szCs w:val="24"/>
        </w:rPr>
      </w:pPr>
      <w:r w:rsidRPr="00224519">
        <w:rPr>
          <w:rFonts w:ascii="Verdana" w:hAnsi="Verdana" w:cs="Arial"/>
          <w:b/>
          <w:color w:val="000000"/>
          <w:sz w:val="24"/>
          <w:szCs w:val="24"/>
        </w:rPr>
        <w:t xml:space="preserve">Note </w:t>
      </w:r>
      <w:r w:rsidRPr="00224519">
        <w:rPr>
          <w:rFonts w:ascii="Verdana" w:hAnsi="Verdana" w:cs="Arial"/>
          <w:color w:val="000000"/>
          <w:sz w:val="24"/>
          <w:szCs w:val="24"/>
        </w:rPr>
        <w:t>the</w:t>
      </w:r>
      <w:r w:rsidR="007D3DB4" w:rsidRPr="00224519">
        <w:rPr>
          <w:rFonts w:ascii="Verdana" w:hAnsi="Verdana" w:cs="Arial"/>
          <w:color w:val="000000"/>
          <w:sz w:val="24"/>
          <w:szCs w:val="24"/>
        </w:rPr>
        <w:t xml:space="preserve"> contents of the report.</w:t>
      </w:r>
    </w:p>
    <w:p w:rsidR="00B25AE4" w:rsidRPr="00224519" w:rsidRDefault="00B25AE4" w:rsidP="00B25AE4">
      <w:pPr>
        <w:autoSpaceDE w:val="0"/>
        <w:autoSpaceDN w:val="0"/>
        <w:adjustRightInd w:val="0"/>
        <w:jc w:val="both"/>
        <w:rPr>
          <w:rFonts w:ascii="Verdana" w:hAnsi="Verdana" w:cs="Arial"/>
          <w:sz w:val="24"/>
          <w:szCs w:val="24"/>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060"/>
        <w:gridCol w:w="6228"/>
      </w:tblGrid>
      <w:tr w:rsidR="00B25AE4" w:rsidRPr="00224519" w:rsidTr="00C0354F">
        <w:trPr>
          <w:trHeight w:val="425"/>
        </w:trPr>
        <w:tc>
          <w:tcPr>
            <w:tcW w:w="3060" w:type="dxa"/>
            <w:tcBorders>
              <w:top w:val="single" w:sz="4" w:space="0" w:color="auto"/>
              <w:left w:val="single" w:sz="4" w:space="0" w:color="auto"/>
              <w:bottom w:val="single" w:sz="4" w:space="0" w:color="auto"/>
              <w:right w:val="single" w:sz="4" w:space="0" w:color="auto"/>
            </w:tcBorders>
            <w:shd w:val="clear" w:color="auto" w:fill="E6E6E6"/>
          </w:tcPr>
          <w:p w:rsidR="00B25AE4" w:rsidRPr="00224519" w:rsidRDefault="00B25AE4" w:rsidP="00C0354F">
            <w:pPr>
              <w:rPr>
                <w:rFonts w:ascii="Verdana" w:hAnsi="Verdana" w:cs="Arial"/>
                <w:b/>
                <w:sz w:val="24"/>
                <w:szCs w:val="24"/>
              </w:rPr>
            </w:pPr>
            <w:r w:rsidRPr="00224519">
              <w:rPr>
                <w:rFonts w:ascii="Verdana" w:hAnsi="Verdana" w:cs="Arial"/>
                <w:b/>
                <w:sz w:val="24"/>
                <w:szCs w:val="24"/>
              </w:rPr>
              <w:t>Freedom of information status</w:t>
            </w:r>
          </w:p>
        </w:tc>
        <w:tc>
          <w:tcPr>
            <w:tcW w:w="6228" w:type="dxa"/>
            <w:tcBorders>
              <w:top w:val="single" w:sz="4" w:space="0" w:color="auto"/>
              <w:left w:val="single" w:sz="4" w:space="0" w:color="auto"/>
              <w:bottom w:val="single" w:sz="4" w:space="0" w:color="auto"/>
              <w:right w:val="single" w:sz="4" w:space="0" w:color="auto"/>
            </w:tcBorders>
          </w:tcPr>
          <w:p w:rsidR="00B25AE4" w:rsidRPr="00224519" w:rsidRDefault="00B25AE4" w:rsidP="00C0354F">
            <w:pPr>
              <w:rPr>
                <w:rFonts w:ascii="Verdana" w:hAnsi="Verdana" w:cs="Arial"/>
                <w:sz w:val="24"/>
                <w:szCs w:val="24"/>
              </w:rPr>
            </w:pPr>
            <w:r w:rsidRPr="00224519">
              <w:rPr>
                <w:rFonts w:ascii="Verdana" w:hAnsi="Verdana" w:cs="Arial"/>
                <w:sz w:val="24"/>
                <w:szCs w:val="24"/>
              </w:rPr>
              <w:t>Open</w:t>
            </w:r>
          </w:p>
        </w:tc>
      </w:tr>
    </w:tbl>
    <w:p w:rsidR="004529DA" w:rsidRPr="00880C0A" w:rsidRDefault="004529DA" w:rsidP="00A9059F">
      <w:pPr>
        <w:jc w:val="both"/>
        <w:rPr>
          <w:rFonts w:ascii="Arial" w:hAnsi="Arial" w:cs="Arial"/>
          <w:b/>
          <w:sz w:val="24"/>
          <w:szCs w:val="24"/>
        </w:rPr>
      </w:pPr>
    </w:p>
    <w:sectPr w:rsidR="004529DA" w:rsidRPr="00880C0A" w:rsidSect="00DF18DF">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3442E" w:rsidRDefault="0053442E">
      <w:r>
        <w:separator/>
      </w:r>
    </w:p>
  </w:endnote>
  <w:endnote w:type="continuationSeparator" w:id="0">
    <w:p w:rsidR="0053442E" w:rsidRDefault="0053442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92EE1" w:rsidRPr="007218A9" w:rsidRDefault="00D92EE1" w:rsidP="0068497D">
    <w:pPr>
      <w:pStyle w:val="Footer"/>
      <w:jc w:val="right"/>
      <w:rPr>
        <w:rFonts w:ascii="Verdana" w:hAnsi="Verdana"/>
        <w:color w:val="A6A6A6" w:themeColor="background1" w:themeShade="A6"/>
        <w:sz w:val="18"/>
      </w:rPr>
    </w:pPr>
    <w:r>
      <w:rPr>
        <w:rFonts w:ascii="Verdana" w:hAnsi="Verdana" w:cs="Arial"/>
        <w:color w:val="A6A6A6" w:themeColor="background1" w:themeShade="A6"/>
        <w:sz w:val="20"/>
        <w:szCs w:val="24"/>
      </w:rPr>
      <w:t>P</w:t>
    </w:r>
    <w:r w:rsidRPr="007218A9">
      <w:rPr>
        <w:rFonts w:ascii="Verdana" w:hAnsi="Verdana" w:cs="Arial"/>
        <w:color w:val="A6A6A6" w:themeColor="background1" w:themeShade="A6"/>
        <w:sz w:val="20"/>
        <w:szCs w:val="24"/>
      </w:rPr>
      <w:t xml:space="preserve">age </w:t>
    </w:r>
    <w:r w:rsidRPr="007218A9">
      <w:rPr>
        <w:rFonts w:ascii="Verdana" w:hAnsi="Verdana" w:cs="Arial"/>
        <w:b/>
        <w:color w:val="A6A6A6" w:themeColor="background1" w:themeShade="A6"/>
        <w:sz w:val="20"/>
        <w:szCs w:val="24"/>
      </w:rPr>
      <w:fldChar w:fldCharType="begin"/>
    </w:r>
    <w:r w:rsidRPr="007218A9">
      <w:rPr>
        <w:rFonts w:ascii="Verdana" w:hAnsi="Verdana" w:cs="Arial"/>
        <w:b/>
        <w:color w:val="A6A6A6" w:themeColor="background1" w:themeShade="A6"/>
        <w:sz w:val="20"/>
        <w:szCs w:val="24"/>
      </w:rPr>
      <w:instrText xml:space="preserve"> PAGE </w:instrText>
    </w:r>
    <w:r w:rsidRPr="007218A9">
      <w:rPr>
        <w:rFonts w:ascii="Verdana" w:hAnsi="Verdana" w:cs="Arial"/>
        <w:b/>
        <w:color w:val="A6A6A6" w:themeColor="background1" w:themeShade="A6"/>
        <w:sz w:val="20"/>
        <w:szCs w:val="24"/>
      </w:rPr>
      <w:fldChar w:fldCharType="separate"/>
    </w:r>
    <w:r w:rsidR="00F83D1A">
      <w:rPr>
        <w:rFonts w:ascii="Verdana" w:hAnsi="Verdana" w:cs="Arial"/>
        <w:b/>
        <w:noProof/>
        <w:color w:val="A6A6A6" w:themeColor="background1" w:themeShade="A6"/>
        <w:sz w:val="20"/>
        <w:szCs w:val="24"/>
      </w:rPr>
      <w:t>1</w:t>
    </w:r>
    <w:r w:rsidRPr="007218A9">
      <w:rPr>
        <w:rFonts w:ascii="Verdana" w:hAnsi="Verdana" w:cs="Arial"/>
        <w:b/>
        <w:color w:val="A6A6A6" w:themeColor="background1" w:themeShade="A6"/>
        <w:sz w:val="20"/>
        <w:szCs w:val="24"/>
      </w:rPr>
      <w:fldChar w:fldCharType="end"/>
    </w:r>
    <w:r w:rsidRPr="007218A9">
      <w:rPr>
        <w:rFonts w:ascii="Verdana" w:hAnsi="Verdana" w:cs="Arial"/>
        <w:color w:val="A6A6A6" w:themeColor="background1" w:themeShade="A6"/>
        <w:sz w:val="20"/>
        <w:szCs w:val="24"/>
      </w:rPr>
      <w:t xml:space="preserve"> of </w:t>
    </w:r>
    <w:r w:rsidRPr="007218A9">
      <w:rPr>
        <w:rFonts w:ascii="Verdana" w:hAnsi="Verdana" w:cs="Arial"/>
        <w:b/>
        <w:color w:val="A6A6A6" w:themeColor="background1" w:themeShade="A6"/>
        <w:sz w:val="20"/>
        <w:szCs w:val="24"/>
      </w:rPr>
      <w:fldChar w:fldCharType="begin"/>
    </w:r>
    <w:r w:rsidRPr="007218A9">
      <w:rPr>
        <w:rFonts w:ascii="Verdana" w:hAnsi="Verdana" w:cs="Arial"/>
        <w:b/>
        <w:color w:val="A6A6A6" w:themeColor="background1" w:themeShade="A6"/>
        <w:sz w:val="20"/>
        <w:szCs w:val="24"/>
      </w:rPr>
      <w:instrText xml:space="preserve"> NUMPAGES  </w:instrText>
    </w:r>
    <w:r w:rsidRPr="007218A9">
      <w:rPr>
        <w:rFonts w:ascii="Verdana" w:hAnsi="Verdana" w:cs="Arial"/>
        <w:b/>
        <w:color w:val="A6A6A6" w:themeColor="background1" w:themeShade="A6"/>
        <w:sz w:val="20"/>
        <w:szCs w:val="24"/>
      </w:rPr>
      <w:fldChar w:fldCharType="separate"/>
    </w:r>
    <w:r w:rsidR="00F83D1A">
      <w:rPr>
        <w:rFonts w:ascii="Verdana" w:hAnsi="Verdana" w:cs="Arial"/>
        <w:b/>
        <w:noProof/>
        <w:color w:val="A6A6A6" w:themeColor="background1" w:themeShade="A6"/>
        <w:sz w:val="20"/>
        <w:szCs w:val="24"/>
      </w:rPr>
      <w:t>8</w:t>
    </w:r>
    <w:r w:rsidRPr="007218A9">
      <w:rPr>
        <w:rFonts w:ascii="Verdana" w:hAnsi="Verdana" w:cs="Arial"/>
        <w:b/>
        <w:color w:val="A6A6A6" w:themeColor="background1" w:themeShade="A6"/>
        <w:sz w:val="20"/>
        <w:szCs w:val="24"/>
      </w:rPr>
      <w:fldChar w:fldCharType="end"/>
    </w:r>
  </w:p>
  <w:p w:rsidR="00D92EE1" w:rsidRPr="007218A9" w:rsidRDefault="00D92EE1" w:rsidP="0068497D">
    <w:pPr>
      <w:pStyle w:val="Footer"/>
      <w:jc w:val="both"/>
      <w:rPr>
        <w:rFonts w:ascii="Verdana" w:hAnsi="Verdana"/>
        <w:sz w:val="18"/>
      </w:rPr>
    </w:pPr>
    <w:r w:rsidRPr="007218A9">
      <w:rPr>
        <w:rFonts w:ascii="Verdana" w:hAnsi="Verdana" w:cs="Arial"/>
        <w:color w:val="A6A6A6" w:themeColor="background1" w:themeShade="A6"/>
        <w:sz w:val="20"/>
        <w:szCs w:val="24"/>
      </w:rPr>
      <w:t xml:space="preserve">WAST Provider Update </w:t>
    </w:r>
  </w:p>
  <w:p w:rsidR="00D92EE1" w:rsidRDefault="00D92EE1"/>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3442E" w:rsidRDefault="0053442E">
      <w:r>
        <w:separator/>
      </w:r>
    </w:p>
  </w:footnote>
  <w:footnote w:type="continuationSeparator" w:id="0">
    <w:p w:rsidR="0053442E" w:rsidRDefault="0053442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92EE1" w:rsidRDefault="00D92EE1">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90357D"/>
    <w:multiLevelType w:val="hybridMultilevel"/>
    <w:tmpl w:val="9758A3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A9352AB"/>
    <w:multiLevelType w:val="hybridMultilevel"/>
    <w:tmpl w:val="3F96B1C0"/>
    <w:lvl w:ilvl="0" w:tplc="AAC48C7C">
      <w:start w:val="1"/>
      <w:numFmt w:val="bullet"/>
      <w:lvlText w:val="•"/>
      <w:lvlJc w:val="left"/>
      <w:pPr>
        <w:tabs>
          <w:tab w:val="num" w:pos="720"/>
        </w:tabs>
        <w:ind w:left="720" w:hanging="360"/>
      </w:pPr>
      <w:rPr>
        <w:rFonts w:ascii="Arial" w:hAnsi="Arial" w:hint="default"/>
      </w:rPr>
    </w:lvl>
    <w:lvl w:ilvl="1" w:tplc="085C3078" w:tentative="1">
      <w:start w:val="1"/>
      <w:numFmt w:val="bullet"/>
      <w:lvlText w:val="•"/>
      <w:lvlJc w:val="left"/>
      <w:pPr>
        <w:tabs>
          <w:tab w:val="num" w:pos="1440"/>
        </w:tabs>
        <w:ind w:left="1440" w:hanging="360"/>
      </w:pPr>
      <w:rPr>
        <w:rFonts w:ascii="Arial" w:hAnsi="Arial" w:hint="default"/>
      </w:rPr>
    </w:lvl>
    <w:lvl w:ilvl="2" w:tplc="E7AA116E" w:tentative="1">
      <w:start w:val="1"/>
      <w:numFmt w:val="bullet"/>
      <w:lvlText w:val="•"/>
      <w:lvlJc w:val="left"/>
      <w:pPr>
        <w:tabs>
          <w:tab w:val="num" w:pos="2160"/>
        </w:tabs>
        <w:ind w:left="2160" w:hanging="360"/>
      </w:pPr>
      <w:rPr>
        <w:rFonts w:ascii="Arial" w:hAnsi="Arial" w:hint="default"/>
      </w:rPr>
    </w:lvl>
    <w:lvl w:ilvl="3" w:tplc="ECFAEEB2" w:tentative="1">
      <w:start w:val="1"/>
      <w:numFmt w:val="bullet"/>
      <w:lvlText w:val="•"/>
      <w:lvlJc w:val="left"/>
      <w:pPr>
        <w:tabs>
          <w:tab w:val="num" w:pos="2880"/>
        </w:tabs>
        <w:ind w:left="2880" w:hanging="360"/>
      </w:pPr>
      <w:rPr>
        <w:rFonts w:ascii="Arial" w:hAnsi="Arial" w:hint="default"/>
      </w:rPr>
    </w:lvl>
    <w:lvl w:ilvl="4" w:tplc="D3F4CD96" w:tentative="1">
      <w:start w:val="1"/>
      <w:numFmt w:val="bullet"/>
      <w:lvlText w:val="•"/>
      <w:lvlJc w:val="left"/>
      <w:pPr>
        <w:tabs>
          <w:tab w:val="num" w:pos="3600"/>
        </w:tabs>
        <w:ind w:left="3600" w:hanging="360"/>
      </w:pPr>
      <w:rPr>
        <w:rFonts w:ascii="Arial" w:hAnsi="Arial" w:hint="default"/>
      </w:rPr>
    </w:lvl>
    <w:lvl w:ilvl="5" w:tplc="99D06FB4" w:tentative="1">
      <w:start w:val="1"/>
      <w:numFmt w:val="bullet"/>
      <w:lvlText w:val="•"/>
      <w:lvlJc w:val="left"/>
      <w:pPr>
        <w:tabs>
          <w:tab w:val="num" w:pos="4320"/>
        </w:tabs>
        <w:ind w:left="4320" w:hanging="360"/>
      </w:pPr>
      <w:rPr>
        <w:rFonts w:ascii="Arial" w:hAnsi="Arial" w:hint="default"/>
      </w:rPr>
    </w:lvl>
    <w:lvl w:ilvl="6" w:tplc="E79E2DD2" w:tentative="1">
      <w:start w:val="1"/>
      <w:numFmt w:val="bullet"/>
      <w:lvlText w:val="•"/>
      <w:lvlJc w:val="left"/>
      <w:pPr>
        <w:tabs>
          <w:tab w:val="num" w:pos="5040"/>
        </w:tabs>
        <w:ind w:left="5040" w:hanging="360"/>
      </w:pPr>
      <w:rPr>
        <w:rFonts w:ascii="Arial" w:hAnsi="Arial" w:hint="default"/>
      </w:rPr>
    </w:lvl>
    <w:lvl w:ilvl="7" w:tplc="325E8B88" w:tentative="1">
      <w:start w:val="1"/>
      <w:numFmt w:val="bullet"/>
      <w:lvlText w:val="•"/>
      <w:lvlJc w:val="left"/>
      <w:pPr>
        <w:tabs>
          <w:tab w:val="num" w:pos="5760"/>
        </w:tabs>
        <w:ind w:left="5760" w:hanging="360"/>
      </w:pPr>
      <w:rPr>
        <w:rFonts w:ascii="Arial" w:hAnsi="Arial" w:hint="default"/>
      </w:rPr>
    </w:lvl>
    <w:lvl w:ilvl="8" w:tplc="8480B0FE"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0B3F1B7F"/>
    <w:multiLevelType w:val="multilevel"/>
    <w:tmpl w:val="82020108"/>
    <w:lvl w:ilvl="0">
      <w:start w:val="20"/>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3" w15:restartNumberingAfterBreak="0">
    <w:nsid w:val="0DEC5212"/>
    <w:multiLevelType w:val="multilevel"/>
    <w:tmpl w:val="E990C132"/>
    <w:lvl w:ilvl="0">
      <w:start w:val="31"/>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4" w15:restartNumberingAfterBreak="0">
    <w:nsid w:val="11FF23C6"/>
    <w:multiLevelType w:val="multilevel"/>
    <w:tmpl w:val="C0ECB646"/>
    <w:lvl w:ilvl="0">
      <w:start w:val="23"/>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5" w15:restartNumberingAfterBreak="0">
    <w:nsid w:val="12DD5BED"/>
    <w:multiLevelType w:val="multilevel"/>
    <w:tmpl w:val="3EFC92DE"/>
    <w:lvl w:ilvl="0">
      <w:start w:val="1"/>
      <w:numFmt w:val="decimal"/>
      <w:lvlText w:val="%1."/>
      <w:lvlJc w:val="left"/>
      <w:pPr>
        <w:ind w:left="360" w:hanging="360"/>
      </w:pPr>
      <w:rPr>
        <w:rFonts w:hint="default"/>
        <w:color w:val="auto"/>
      </w:rPr>
    </w:lvl>
    <w:lvl w:ilvl="1">
      <w:start w:val="19"/>
      <w:numFmt w:val="decimal"/>
      <w:lvlText w:val="%2."/>
      <w:lvlJc w:val="left"/>
      <w:pPr>
        <w:ind w:left="792" w:hanging="432"/>
      </w:pPr>
      <w:rPr>
        <w:rFonts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6" w15:restartNumberingAfterBreak="0">
    <w:nsid w:val="13CE7937"/>
    <w:multiLevelType w:val="multilevel"/>
    <w:tmpl w:val="4CCCAC60"/>
    <w:lvl w:ilvl="0">
      <w:start w:val="16"/>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7" w15:restartNumberingAfterBreak="0">
    <w:nsid w:val="14F235A9"/>
    <w:multiLevelType w:val="hybridMultilevel"/>
    <w:tmpl w:val="C5969CC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8" w15:restartNumberingAfterBreak="0">
    <w:nsid w:val="18AC412C"/>
    <w:multiLevelType w:val="hybridMultilevel"/>
    <w:tmpl w:val="F320C12A"/>
    <w:lvl w:ilvl="0" w:tplc="0809001B">
      <w:start w:val="1"/>
      <w:numFmt w:val="lowerRoman"/>
      <w:lvlText w:val="%1."/>
      <w:lvlJc w:val="right"/>
      <w:pPr>
        <w:tabs>
          <w:tab w:val="num" w:pos="810"/>
        </w:tabs>
        <w:ind w:left="810" w:hanging="360"/>
      </w:pPr>
      <w:rPr>
        <w:rFonts w:hint="default"/>
      </w:rPr>
    </w:lvl>
    <w:lvl w:ilvl="1" w:tplc="08090003" w:tentative="1">
      <w:start w:val="1"/>
      <w:numFmt w:val="bullet"/>
      <w:lvlText w:val="o"/>
      <w:lvlJc w:val="left"/>
      <w:pPr>
        <w:tabs>
          <w:tab w:val="num" w:pos="1530"/>
        </w:tabs>
        <w:ind w:left="1530" w:hanging="360"/>
      </w:pPr>
      <w:rPr>
        <w:rFonts w:ascii="Courier New" w:hAnsi="Courier New" w:cs="Courier New" w:hint="default"/>
      </w:rPr>
    </w:lvl>
    <w:lvl w:ilvl="2" w:tplc="08090005" w:tentative="1">
      <w:start w:val="1"/>
      <w:numFmt w:val="bullet"/>
      <w:lvlText w:val=""/>
      <w:lvlJc w:val="left"/>
      <w:pPr>
        <w:tabs>
          <w:tab w:val="num" w:pos="2250"/>
        </w:tabs>
        <w:ind w:left="2250" w:hanging="360"/>
      </w:pPr>
      <w:rPr>
        <w:rFonts w:ascii="Wingdings" w:hAnsi="Wingdings" w:hint="default"/>
      </w:rPr>
    </w:lvl>
    <w:lvl w:ilvl="3" w:tplc="08090001" w:tentative="1">
      <w:start w:val="1"/>
      <w:numFmt w:val="bullet"/>
      <w:lvlText w:val=""/>
      <w:lvlJc w:val="left"/>
      <w:pPr>
        <w:tabs>
          <w:tab w:val="num" w:pos="2970"/>
        </w:tabs>
        <w:ind w:left="2970" w:hanging="360"/>
      </w:pPr>
      <w:rPr>
        <w:rFonts w:ascii="Symbol" w:hAnsi="Symbol" w:hint="default"/>
      </w:rPr>
    </w:lvl>
    <w:lvl w:ilvl="4" w:tplc="08090003" w:tentative="1">
      <w:start w:val="1"/>
      <w:numFmt w:val="bullet"/>
      <w:lvlText w:val="o"/>
      <w:lvlJc w:val="left"/>
      <w:pPr>
        <w:tabs>
          <w:tab w:val="num" w:pos="3690"/>
        </w:tabs>
        <w:ind w:left="3690" w:hanging="360"/>
      </w:pPr>
      <w:rPr>
        <w:rFonts w:ascii="Courier New" w:hAnsi="Courier New" w:cs="Courier New" w:hint="default"/>
      </w:rPr>
    </w:lvl>
    <w:lvl w:ilvl="5" w:tplc="08090005" w:tentative="1">
      <w:start w:val="1"/>
      <w:numFmt w:val="bullet"/>
      <w:lvlText w:val=""/>
      <w:lvlJc w:val="left"/>
      <w:pPr>
        <w:tabs>
          <w:tab w:val="num" w:pos="4410"/>
        </w:tabs>
        <w:ind w:left="4410" w:hanging="360"/>
      </w:pPr>
      <w:rPr>
        <w:rFonts w:ascii="Wingdings" w:hAnsi="Wingdings" w:hint="default"/>
      </w:rPr>
    </w:lvl>
    <w:lvl w:ilvl="6" w:tplc="08090001" w:tentative="1">
      <w:start w:val="1"/>
      <w:numFmt w:val="bullet"/>
      <w:lvlText w:val=""/>
      <w:lvlJc w:val="left"/>
      <w:pPr>
        <w:tabs>
          <w:tab w:val="num" w:pos="5130"/>
        </w:tabs>
        <w:ind w:left="5130" w:hanging="360"/>
      </w:pPr>
      <w:rPr>
        <w:rFonts w:ascii="Symbol" w:hAnsi="Symbol" w:hint="default"/>
      </w:rPr>
    </w:lvl>
    <w:lvl w:ilvl="7" w:tplc="08090003" w:tentative="1">
      <w:start w:val="1"/>
      <w:numFmt w:val="bullet"/>
      <w:lvlText w:val="o"/>
      <w:lvlJc w:val="left"/>
      <w:pPr>
        <w:tabs>
          <w:tab w:val="num" w:pos="5850"/>
        </w:tabs>
        <w:ind w:left="5850" w:hanging="360"/>
      </w:pPr>
      <w:rPr>
        <w:rFonts w:ascii="Courier New" w:hAnsi="Courier New" w:cs="Courier New" w:hint="default"/>
      </w:rPr>
    </w:lvl>
    <w:lvl w:ilvl="8" w:tplc="08090005" w:tentative="1">
      <w:start w:val="1"/>
      <w:numFmt w:val="bullet"/>
      <w:lvlText w:val=""/>
      <w:lvlJc w:val="left"/>
      <w:pPr>
        <w:tabs>
          <w:tab w:val="num" w:pos="6570"/>
        </w:tabs>
        <w:ind w:left="6570" w:hanging="360"/>
      </w:pPr>
      <w:rPr>
        <w:rFonts w:ascii="Wingdings" w:hAnsi="Wingdings" w:hint="default"/>
      </w:rPr>
    </w:lvl>
  </w:abstractNum>
  <w:abstractNum w:abstractNumId="9" w15:restartNumberingAfterBreak="0">
    <w:nsid w:val="1D322B15"/>
    <w:multiLevelType w:val="hybridMultilevel"/>
    <w:tmpl w:val="237A85F8"/>
    <w:lvl w:ilvl="0" w:tplc="1D441A30">
      <w:numFmt w:val="bullet"/>
      <w:lvlText w:val="-"/>
      <w:lvlJc w:val="left"/>
      <w:pPr>
        <w:ind w:left="1080" w:hanging="360"/>
      </w:pPr>
      <w:rPr>
        <w:rFonts w:ascii="Arial" w:eastAsia="Times New Roman"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1FEB2F62"/>
    <w:multiLevelType w:val="multilevel"/>
    <w:tmpl w:val="5D0C0FDC"/>
    <w:lvl w:ilvl="0">
      <w:start w:val="25"/>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1" w15:restartNumberingAfterBreak="0">
    <w:nsid w:val="21DD54A8"/>
    <w:multiLevelType w:val="multilevel"/>
    <w:tmpl w:val="DAF48710"/>
    <w:lvl w:ilvl="0">
      <w:start w:val="19"/>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2" w15:restartNumberingAfterBreak="0">
    <w:nsid w:val="222B79DA"/>
    <w:multiLevelType w:val="hybridMultilevel"/>
    <w:tmpl w:val="EB7C747C"/>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30C2A19"/>
    <w:multiLevelType w:val="multilevel"/>
    <w:tmpl w:val="86AAB458"/>
    <w:lvl w:ilvl="0">
      <w:start w:val="24"/>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4" w15:restartNumberingAfterBreak="0">
    <w:nsid w:val="23FF2A43"/>
    <w:multiLevelType w:val="hybridMultilevel"/>
    <w:tmpl w:val="9BA80102"/>
    <w:lvl w:ilvl="0" w:tplc="D3CCC80A">
      <w:start w:val="16"/>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24895A54"/>
    <w:multiLevelType w:val="hybridMultilevel"/>
    <w:tmpl w:val="2FB825C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16" w15:restartNumberingAfterBreak="0">
    <w:nsid w:val="264A0CFA"/>
    <w:multiLevelType w:val="multilevel"/>
    <w:tmpl w:val="02C0C266"/>
    <w:lvl w:ilvl="0">
      <w:start w:val="23"/>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7" w15:restartNumberingAfterBreak="0">
    <w:nsid w:val="32163924"/>
    <w:multiLevelType w:val="multilevel"/>
    <w:tmpl w:val="FD8C7D00"/>
    <w:lvl w:ilvl="0">
      <w:start w:val="14"/>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8" w15:restartNumberingAfterBreak="0">
    <w:nsid w:val="32E11F71"/>
    <w:multiLevelType w:val="multilevel"/>
    <w:tmpl w:val="F146B24A"/>
    <w:lvl w:ilvl="0">
      <w:start w:val="21"/>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9" w15:restartNumberingAfterBreak="0">
    <w:nsid w:val="35F957FB"/>
    <w:multiLevelType w:val="hybridMultilevel"/>
    <w:tmpl w:val="216CAEAA"/>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20" w15:restartNumberingAfterBreak="0">
    <w:nsid w:val="3CE30B81"/>
    <w:multiLevelType w:val="hybridMultilevel"/>
    <w:tmpl w:val="3F04DEA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FE6206A"/>
    <w:multiLevelType w:val="hybridMultilevel"/>
    <w:tmpl w:val="7876E8FC"/>
    <w:lvl w:ilvl="0" w:tplc="08090001">
      <w:start w:val="1"/>
      <w:numFmt w:val="bullet"/>
      <w:lvlText w:val=""/>
      <w:lvlJc w:val="left"/>
      <w:pPr>
        <w:ind w:left="1512" w:hanging="360"/>
      </w:pPr>
      <w:rPr>
        <w:rFonts w:ascii="Symbol" w:hAnsi="Symbol" w:hint="default"/>
      </w:rPr>
    </w:lvl>
    <w:lvl w:ilvl="1" w:tplc="08090003" w:tentative="1">
      <w:start w:val="1"/>
      <w:numFmt w:val="bullet"/>
      <w:lvlText w:val="o"/>
      <w:lvlJc w:val="left"/>
      <w:pPr>
        <w:ind w:left="2232" w:hanging="360"/>
      </w:pPr>
      <w:rPr>
        <w:rFonts w:ascii="Courier New" w:hAnsi="Courier New" w:cs="Courier New" w:hint="default"/>
      </w:rPr>
    </w:lvl>
    <w:lvl w:ilvl="2" w:tplc="08090005" w:tentative="1">
      <w:start w:val="1"/>
      <w:numFmt w:val="bullet"/>
      <w:lvlText w:val=""/>
      <w:lvlJc w:val="left"/>
      <w:pPr>
        <w:ind w:left="2952" w:hanging="360"/>
      </w:pPr>
      <w:rPr>
        <w:rFonts w:ascii="Wingdings" w:hAnsi="Wingdings" w:hint="default"/>
      </w:rPr>
    </w:lvl>
    <w:lvl w:ilvl="3" w:tplc="08090001" w:tentative="1">
      <w:start w:val="1"/>
      <w:numFmt w:val="bullet"/>
      <w:lvlText w:val=""/>
      <w:lvlJc w:val="left"/>
      <w:pPr>
        <w:ind w:left="3672" w:hanging="360"/>
      </w:pPr>
      <w:rPr>
        <w:rFonts w:ascii="Symbol" w:hAnsi="Symbol" w:hint="default"/>
      </w:rPr>
    </w:lvl>
    <w:lvl w:ilvl="4" w:tplc="08090003" w:tentative="1">
      <w:start w:val="1"/>
      <w:numFmt w:val="bullet"/>
      <w:lvlText w:val="o"/>
      <w:lvlJc w:val="left"/>
      <w:pPr>
        <w:ind w:left="4392" w:hanging="360"/>
      </w:pPr>
      <w:rPr>
        <w:rFonts w:ascii="Courier New" w:hAnsi="Courier New" w:cs="Courier New" w:hint="default"/>
      </w:rPr>
    </w:lvl>
    <w:lvl w:ilvl="5" w:tplc="08090005" w:tentative="1">
      <w:start w:val="1"/>
      <w:numFmt w:val="bullet"/>
      <w:lvlText w:val=""/>
      <w:lvlJc w:val="left"/>
      <w:pPr>
        <w:ind w:left="5112" w:hanging="360"/>
      </w:pPr>
      <w:rPr>
        <w:rFonts w:ascii="Wingdings" w:hAnsi="Wingdings" w:hint="default"/>
      </w:rPr>
    </w:lvl>
    <w:lvl w:ilvl="6" w:tplc="08090001" w:tentative="1">
      <w:start w:val="1"/>
      <w:numFmt w:val="bullet"/>
      <w:lvlText w:val=""/>
      <w:lvlJc w:val="left"/>
      <w:pPr>
        <w:ind w:left="5832" w:hanging="360"/>
      </w:pPr>
      <w:rPr>
        <w:rFonts w:ascii="Symbol" w:hAnsi="Symbol" w:hint="default"/>
      </w:rPr>
    </w:lvl>
    <w:lvl w:ilvl="7" w:tplc="08090003" w:tentative="1">
      <w:start w:val="1"/>
      <w:numFmt w:val="bullet"/>
      <w:lvlText w:val="o"/>
      <w:lvlJc w:val="left"/>
      <w:pPr>
        <w:ind w:left="6552" w:hanging="360"/>
      </w:pPr>
      <w:rPr>
        <w:rFonts w:ascii="Courier New" w:hAnsi="Courier New" w:cs="Courier New" w:hint="default"/>
      </w:rPr>
    </w:lvl>
    <w:lvl w:ilvl="8" w:tplc="08090005" w:tentative="1">
      <w:start w:val="1"/>
      <w:numFmt w:val="bullet"/>
      <w:lvlText w:val=""/>
      <w:lvlJc w:val="left"/>
      <w:pPr>
        <w:ind w:left="7272" w:hanging="360"/>
      </w:pPr>
      <w:rPr>
        <w:rFonts w:ascii="Wingdings" w:hAnsi="Wingdings" w:hint="default"/>
      </w:rPr>
    </w:lvl>
  </w:abstractNum>
  <w:abstractNum w:abstractNumId="22" w15:restartNumberingAfterBreak="0">
    <w:nsid w:val="409E38F5"/>
    <w:multiLevelType w:val="hybridMultilevel"/>
    <w:tmpl w:val="A92220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8AB05F1"/>
    <w:multiLevelType w:val="multilevel"/>
    <w:tmpl w:val="655E4A10"/>
    <w:lvl w:ilvl="0">
      <w:start w:val="30"/>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24" w15:restartNumberingAfterBreak="0">
    <w:nsid w:val="49BC7327"/>
    <w:multiLevelType w:val="multilevel"/>
    <w:tmpl w:val="113A2DD8"/>
    <w:lvl w:ilvl="0">
      <w:start w:val="22"/>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25" w15:restartNumberingAfterBreak="0">
    <w:nsid w:val="532D2C80"/>
    <w:multiLevelType w:val="multilevel"/>
    <w:tmpl w:val="B73C07E4"/>
    <w:lvl w:ilvl="0">
      <w:start w:val="28"/>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26" w15:restartNumberingAfterBreak="0">
    <w:nsid w:val="53547557"/>
    <w:multiLevelType w:val="multilevel"/>
    <w:tmpl w:val="BA3C3B06"/>
    <w:lvl w:ilvl="0">
      <w:start w:val="20"/>
      <w:numFmt w:val="decimal"/>
      <w:lvlText w:val="%1."/>
      <w:lvlJc w:val="left"/>
      <w:pPr>
        <w:ind w:left="360" w:hanging="360"/>
      </w:pPr>
      <w:rPr>
        <w:rFonts w:hint="default"/>
        <w:color w:val="auto"/>
      </w:rPr>
    </w:lvl>
    <w:lvl w:ilvl="1">
      <w:start w:val="19"/>
      <w:numFmt w:val="decimal"/>
      <w:lvlText w:val="%2."/>
      <w:lvlJc w:val="left"/>
      <w:pPr>
        <w:ind w:left="792" w:hanging="432"/>
      </w:pPr>
      <w:rPr>
        <w:rFonts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27" w15:restartNumberingAfterBreak="0">
    <w:nsid w:val="55450258"/>
    <w:multiLevelType w:val="multilevel"/>
    <w:tmpl w:val="BD8E629E"/>
    <w:lvl w:ilvl="0">
      <w:start w:val="22"/>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28" w15:restartNumberingAfterBreak="0">
    <w:nsid w:val="55C356CC"/>
    <w:multiLevelType w:val="hybridMultilevel"/>
    <w:tmpl w:val="1EC61256"/>
    <w:lvl w:ilvl="0" w:tplc="08090001">
      <w:start w:val="1"/>
      <w:numFmt w:val="bullet"/>
      <w:lvlText w:val=""/>
      <w:lvlJc w:val="left"/>
      <w:pPr>
        <w:tabs>
          <w:tab w:val="num" w:pos="810"/>
        </w:tabs>
        <w:ind w:left="810" w:hanging="360"/>
      </w:pPr>
      <w:rPr>
        <w:rFonts w:ascii="Symbol" w:hAnsi="Symbol" w:hint="default"/>
      </w:rPr>
    </w:lvl>
    <w:lvl w:ilvl="1" w:tplc="08090003" w:tentative="1">
      <w:start w:val="1"/>
      <w:numFmt w:val="bullet"/>
      <w:lvlText w:val="o"/>
      <w:lvlJc w:val="left"/>
      <w:pPr>
        <w:tabs>
          <w:tab w:val="num" w:pos="1530"/>
        </w:tabs>
        <w:ind w:left="1530" w:hanging="360"/>
      </w:pPr>
      <w:rPr>
        <w:rFonts w:ascii="Courier New" w:hAnsi="Courier New" w:cs="Courier New" w:hint="default"/>
      </w:rPr>
    </w:lvl>
    <w:lvl w:ilvl="2" w:tplc="08090005" w:tentative="1">
      <w:start w:val="1"/>
      <w:numFmt w:val="bullet"/>
      <w:lvlText w:val=""/>
      <w:lvlJc w:val="left"/>
      <w:pPr>
        <w:tabs>
          <w:tab w:val="num" w:pos="2250"/>
        </w:tabs>
        <w:ind w:left="2250" w:hanging="360"/>
      </w:pPr>
      <w:rPr>
        <w:rFonts w:ascii="Wingdings" w:hAnsi="Wingdings" w:hint="default"/>
      </w:rPr>
    </w:lvl>
    <w:lvl w:ilvl="3" w:tplc="08090001" w:tentative="1">
      <w:start w:val="1"/>
      <w:numFmt w:val="bullet"/>
      <w:lvlText w:val=""/>
      <w:lvlJc w:val="left"/>
      <w:pPr>
        <w:tabs>
          <w:tab w:val="num" w:pos="2970"/>
        </w:tabs>
        <w:ind w:left="2970" w:hanging="360"/>
      </w:pPr>
      <w:rPr>
        <w:rFonts w:ascii="Symbol" w:hAnsi="Symbol" w:hint="default"/>
      </w:rPr>
    </w:lvl>
    <w:lvl w:ilvl="4" w:tplc="08090003" w:tentative="1">
      <w:start w:val="1"/>
      <w:numFmt w:val="bullet"/>
      <w:lvlText w:val="o"/>
      <w:lvlJc w:val="left"/>
      <w:pPr>
        <w:tabs>
          <w:tab w:val="num" w:pos="3690"/>
        </w:tabs>
        <w:ind w:left="3690" w:hanging="360"/>
      </w:pPr>
      <w:rPr>
        <w:rFonts w:ascii="Courier New" w:hAnsi="Courier New" w:cs="Courier New" w:hint="default"/>
      </w:rPr>
    </w:lvl>
    <w:lvl w:ilvl="5" w:tplc="08090005" w:tentative="1">
      <w:start w:val="1"/>
      <w:numFmt w:val="bullet"/>
      <w:lvlText w:val=""/>
      <w:lvlJc w:val="left"/>
      <w:pPr>
        <w:tabs>
          <w:tab w:val="num" w:pos="4410"/>
        </w:tabs>
        <w:ind w:left="4410" w:hanging="360"/>
      </w:pPr>
      <w:rPr>
        <w:rFonts w:ascii="Wingdings" w:hAnsi="Wingdings" w:hint="default"/>
      </w:rPr>
    </w:lvl>
    <w:lvl w:ilvl="6" w:tplc="08090001" w:tentative="1">
      <w:start w:val="1"/>
      <w:numFmt w:val="bullet"/>
      <w:lvlText w:val=""/>
      <w:lvlJc w:val="left"/>
      <w:pPr>
        <w:tabs>
          <w:tab w:val="num" w:pos="5130"/>
        </w:tabs>
        <w:ind w:left="5130" w:hanging="360"/>
      </w:pPr>
      <w:rPr>
        <w:rFonts w:ascii="Symbol" w:hAnsi="Symbol" w:hint="default"/>
      </w:rPr>
    </w:lvl>
    <w:lvl w:ilvl="7" w:tplc="08090003" w:tentative="1">
      <w:start w:val="1"/>
      <w:numFmt w:val="bullet"/>
      <w:lvlText w:val="o"/>
      <w:lvlJc w:val="left"/>
      <w:pPr>
        <w:tabs>
          <w:tab w:val="num" w:pos="5850"/>
        </w:tabs>
        <w:ind w:left="5850" w:hanging="360"/>
      </w:pPr>
      <w:rPr>
        <w:rFonts w:ascii="Courier New" w:hAnsi="Courier New" w:cs="Courier New" w:hint="default"/>
      </w:rPr>
    </w:lvl>
    <w:lvl w:ilvl="8" w:tplc="08090005" w:tentative="1">
      <w:start w:val="1"/>
      <w:numFmt w:val="bullet"/>
      <w:lvlText w:val=""/>
      <w:lvlJc w:val="left"/>
      <w:pPr>
        <w:tabs>
          <w:tab w:val="num" w:pos="6570"/>
        </w:tabs>
        <w:ind w:left="6570" w:hanging="360"/>
      </w:pPr>
      <w:rPr>
        <w:rFonts w:ascii="Wingdings" w:hAnsi="Wingdings" w:hint="default"/>
      </w:rPr>
    </w:lvl>
  </w:abstractNum>
  <w:abstractNum w:abstractNumId="29" w15:restartNumberingAfterBreak="0">
    <w:nsid w:val="5DCE02AA"/>
    <w:multiLevelType w:val="multilevel"/>
    <w:tmpl w:val="58F65F00"/>
    <w:lvl w:ilvl="0">
      <w:start w:val="27"/>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30" w15:restartNumberingAfterBreak="0">
    <w:nsid w:val="5FCB3E9B"/>
    <w:multiLevelType w:val="multilevel"/>
    <w:tmpl w:val="32D0D6B2"/>
    <w:lvl w:ilvl="0">
      <w:start w:val="26"/>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31" w15:restartNumberingAfterBreak="0">
    <w:nsid w:val="6265785A"/>
    <w:multiLevelType w:val="hybridMultilevel"/>
    <w:tmpl w:val="E8A0E514"/>
    <w:lvl w:ilvl="0" w:tplc="057CD264">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63D356D8"/>
    <w:multiLevelType w:val="hybridMultilevel"/>
    <w:tmpl w:val="A73C5078"/>
    <w:lvl w:ilvl="0" w:tplc="08090003">
      <w:start w:val="1"/>
      <w:numFmt w:val="bullet"/>
      <w:lvlText w:val="o"/>
      <w:lvlJc w:val="left"/>
      <w:pPr>
        <w:ind w:left="1080" w:hanging="360"/>
      </w:pPr>
      <w:rPr>
        <w:rFonts w:ascii="Courier New" w:hAnsi="Courier New" w:cs="Courier New"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3" w15:restartNumberingAfterBreak="0">
    <w:nsid w:val="6B8D5725"/>
    <w:multiLevelType w:val="hybridMultilevel"/>
    <w:tmpl w:val="BDE8F670"/>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34" w15:restartNumberingAfterBreak="0">
    <w:nsid w:val="6CE01C38"/>
    <w:multiLevelType w:val="multilevel"/>
    <w:tmpl w:val="F7541ADC"/>
    <w:lvl w:ilvl="0">
      <w:start w:val="1"/>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5" w15:restartNumberingAfterBreak="0">
    <w:nsid w:val="71534A4C"/>
    <w:multiLevelType w:val="multilevel"/>
    <w:tmpl w:val="5D20F378"/>
    <w:lvl w:ilvl="0">
      <w:start w:val="29"/>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36" w15:restartNumberingAfterBreak="0">
    <w:nsid w:val="7696248A"/>
    <w:multiLevelType w:val="multilevel"/>
    <w:tmpl w:val="34FE7F38"/>
    <w:lvl w:ilvl="0">
      <w:start w:val="24"/>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37" w15:restartNumberingAfterBreak="0">
    <w:nsid w:val="76F31C59"/>
    <w:multiLevelType w:val="multilevel"/>
    <w:tmpl w:val="5ACEE6F2"/>
    <w:lvl w:ilvl="0">
      <w:start w:val="21"/>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38" w15:restartNumberingAfterBreak="0">
    <w:nsid w:val="78343B3E"/>
    <w:multiLevelType w:val="hybridMultilevel"/>
    <w:tmpl w:val="FFEC961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num w:numId="1">
    <w:abstractNumId w:val="34"/>
  </w:num>
  <w:num w:numId="2">
    <w:abstractNumId w:val="28"/>
  </w:num>
  <w:num w:numId="3">
    <w:abstractNumId w:val="31"/>
  </w:num>
  <w:num w:numId="4">
    <w:abstractNumId w:val="17"/>
  </w:num>
  <w:num w:numId="5">
    <w:abstractNumId w:val="6"/>
    <w:lvlOverride w:ilvl="0">
      <w:startOverride w:val="16"/>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2"/>
  </w:num>
  <w:num w:numId="7">
    <w:abstractNumId w:val="7"/>
  </w:num>
  <w:num w:numId="8">
    <w:abstractNumId w:val="21"/>
  </w:num>
  <w:num w:numId="9">
    <w:abstractNumId w:val="9"/>
  </w:num>
  <w:num w:numId="10">
    <w:abstractNumId w:val="5"/>
  </w:num>
  <w:num w:numId="11">
    <w:abstractNumId w:val="26"/>
  </w:num>
  <w:num w:numId="12">
    <w:abstractNumId w:val="18"/>
  </w:num>
  <w:num w:numId="13">
    <w:abstractNumId w:val="27"/>
  </w:num>
  <w:num w:numId="14">
    <w:abstractNumId w:val="4"/>
  </w:num>
  <w:num w:numId="15">
    <w:abstractNumId w:val="13"/>
  </w:num>
  <w:num w:numId="16">
    <w:abstractNumId w:val="8"/>
  </w:num>
  <w:num w:numId="17">
    <w:abstractNumId w:val="19"/>
  </w:num>
  <w:num w:numId="18">
    <w:abstractNumId w:val="14"/>
  </w:num>
  <w:num w:numId="19">
    <w:abstractNumId w:val="1"/>
  </w:num>
  <w:num w:numId="20">
    <w:abstractNumId w:val="33"/>
  </w:num>
  <w:num w:numId="21">
    <w:abstractNumId w:val="15"/>
  </w:num>
  <w:num w:numId="22">
    <w:abstractNumId w:val="38"/>
  </w:num>
  <w:num w:numId="23">
    <w:abstractNumId w:val="20"/>
  </w:num>
  <w:num w:numId="24">
    <w:abstractNumId w:val="32"/>
  </w:num>
  <w:num w:numId="25">
    <w:abstractNumId w:val="0"/>
  </w:num>
  <w:num w:numId="26">
    <w:abstractNumId w:val="22"/>
  </w:num>
  <w:num w:numId="27">
    <w:abstractNumId w:val="11"/>
  </w:num>
  <w:num w:numId="28">
    <w:abstractNumId w:val="2"/>
  </w:num>
  <w:num w:numId="29">
    <w:abstractNumId w:val="37"/>
  </w:num>
  <w:num w:numId="30">
    <w:abstractNumId w:val="24"/>
  </w:num>
  <w:num w:numId="31">
    <w:abstractNumId w:val="16"/>
  </w:num>
  <w:num w:numId="32">
    <w:abstractNumId w:val="36"/>
  </w:num>
  <w:num w:numId="33">
    <w:abstractNumId w:val="10"/>
  </w:num>
  <w:num w:numId="34">
    <w:abstractNumId w:val="30"/>
  </w:num>
  <w:num w:numId="35">
    <w:abstractNumId w:val="29"/>
  </w:num>
  <w:num w:numId="36">
    <w:abstractNumId w:val="25"/>
  </w:num>
  <w:num w:numId="37">
    <w:abstractNumId w:val="35"/>
  </w:num>
  <w:num w:numId="38">
    <w:abstractNumId w:val="23"/>
  </w:num>
  <w:num w:numId="39">
    <w:abstractNumId w:val="3"/>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059F"/>
    <w:rsid w:val="00001C30"/>
    <w:rsid w:val="000044E4"/>
    <w:rsid w:val="00005B87"/>
    <w:rsid w:val="0001411E"/>
    <w:rsid w:val="00022891"/>
    <w:rsid w:val="000237FF"/>
    <w:rsid w:val="00023A9C"/>
    <w:rsid w:val="000271C1"/>
    <w:rsid w:val="00034094"/>
    <w:rsid w:val="000344A9"/>
    <w:rsid w:val="0003469A"/>
    <w:rsid w:val="00072CA6"/>
    <w:rsid w:val="000739B8"/>
    <w:rsid w:val="000809F2"/>
    <w:rsid w:val="000827FE"/>
    <w:rsid w:val="000852AE"/>
    <w:rsid w:val="00091822"/>
    <w:rsid w:val="00093C6D"/>
    <w:rsid w:val="0009644B"/>
    <w:rsid w:val="000B6DBE"/>
    <w:rsid w:val="000C4837"/>
    <w:rsid w:val="000F1F1D"/>
    <w:rsid w:val="000F5C79"/>
    <w:rsid w:val="000F67CD"/>
    <w:rsid w:val="000F6EF2"/>
    <w:rsid w:val="0010306C"/>
    <w:rsid w:val="001047C4"/>
    <w:rsid w:val="001064D5"/>
    <w:rsid w:val="0011134E"/>
    <w:rsid w:val="00123F55"/>
    <w:rsid w:val="00132828"/>
    <w:rsid w:val="001400D0"/>
    <w:rsid w:val="00145660"/>
    <w:rsid w:val="00147404"/>
    <w:rsid w:val="00156E65"/>
    <w:rsid w:val="001608C0"/>
    <w:rsid w:val="00173E76"/>
    <w:rsid w:val="00174E99"/>
    <w:rsid w:val="0017564E"/>
    <w:rsid w:val="00194A0D"/>
    <w:rsid w:val="001A2645"/>
    <w:rsid w:val="001A67A1"/>
    <w:rsid w:val="001B3601"/>
    <w:rsid w:val="001B73A6"/>
    <w:rsid w:val="001C25C3"/>
    <w:rsid w:val="001C2F15"/>
    <w:rsid w:val="001C32CA"/>
    <w:rsid w:val="001C5220"/>
    <w:rsid w:val="001C535D"/>
    <w:rsid w:val="001E274B"/>
    <w:rsid w:val="001E5C96"/>
    <w:rsid w:val="002002E7"/>
    <w:rsid w:val="00204885"/>
    <w:rsid w:val="002147E8"/>
    <w:rsid w:val="00221FE7"/>
    <w:rsid w:val="00224519"/>
    <w:rsid w:val="00226C04"/>
    <w:rsid w:val="002343CC"/>
    <w:rsid w:val="00234A1A"/>
    <w:rsid w:val="0023565E"/>
    <w:rsid w:val="00235DA8"/>
    <w:rsid w:val="00241280"/>
    <w:rsid w:val="00243117"/>
    <w:rsid w:val="00250F78"/>
    <w:rsid w:val="00263CFA"/>
    <w:rsid w:val="00272C77"/>
    <w:rsid w:val="00284F3C"/>
    <w:rsid w:val="00292334"/>
    <w:rsid w:val="0029398F"/>
    <w:rsid w:val="00295CD3"/>
    <w:rsid w:val="00296033"/>
    <w:rsid w:val="00297FEA"/>
    <w:rsid w:val="002A761D"/>
    <w:rsid w:val="002B0D42"/>
    <w:rsid w:val="002B2645"/>
    <w:rsid w:val="002B3661"/>
    <w:rsid w:val="002D2AEA"/>
    <w:rsid w:val="002F0989"/>
    <w:rsid w:val="002F1D4D"/>
    <w:rsid w:val="00303C5D"/>
    <w:rsid w:val="00304807"/>
    <w:rsid w:val="00311DBE"/>
    <w:rsid w:val="003212BF"/>
    <w:rsid w:val="00322B98"/>
    <w:rsid w:val="003266C6"/>
    <w:rsid w:val="00342649"/>
    <w:rsid w:val="00347673"/>
    <w:rsid w:val="00363505"/>
    <w:rsid w:val="00382486"/>
    <w:rsid w:val="00382EFD"/>
    <w:rsid w:val="00383415"/>
    <w:rsid w:val="0038758B"/>
    <w:rsid w:val="00397702"/>
    <w:rsid w:val="003A04CD"/>
    <w:rsid w:val="003A7CCC"/>
    <w:rsid w:val="003B5231"/>
    <w:rsid w:val="003C4123"/>
    <w:rsid w:val="003C4F8B"/>
    <w:rsid w:val="003C621B"/>
    <w:rsid w:val="003D2156"/>
    <w:rsid w:val="003D76D0"/>
    <w:rsid w:val="003E1288"/>
    <w:rsid w:val="003F582E"/>
    <w:rsid w:val="00411348"/>
    <w:rsid w:val="0041419A"/>
    <w:rsid w:val="0041711E"/>
    <w:rsid w:val="004174BE"/>
    <w:rsid w:val="00426DA8"/>
    <w:rsid w:val="0043359F"/>
    <w:rsid w:val="00437AFF"/>
    <w:rsid w:val="004529DA"/>
    <w:rsid w:val="00452DD2"/>
    <w:rsid w:val="00462DFB"/>
    <w:rsid w:val="004739A8"/>
    <w:rsid w:val="00474F99"/>
    <w:rsid w:val="0048088E"/>
    <w:rsid w:val="00481EF5"/>
    <w:rsid w:val="00483B44"/>
    <w:rsid w:val="004849F0"/>
    <w:rsid w:val="00485626"/>
    <w:rsid w:val="00491E69"/>
    <w:rsid w:val="004A048B"/>
    <w:rsid w:val="004A0B2D"/>
    <w:rsid w:val="004B3BD8"/>
    <w:rsid w:val="004B6386"/>
    <w:rsid w:val="004D05AE"/>
    <w:rsid w:val="004D5087"/>
    <w:rsid w:val="004E6D01"/>
    <w:rsid w:val="004E6DCF"/>
    <w:rsid w:val="004F139C"/>
    <w:rsid w:val="004F2125"/>
    <w:rsid w:val="004F4D31"/>
    <w:rsid w:val="004F70FE"/>
    <w:rsid w:val="00500F92"/>
    <w:rsid w:val="00510E1A"/>
    <w:rsid w:val="005125C4"/>
    <w:rsid w:val="0052357B"/>
    <w:rsid w:val="005238CE"/>
    <w:rsid w:val="00526C8B"/>
    <w:rsid w:val="00534247"/>
    <w:rsid w:val="0053442E"/>
    <w:rsid w:val="005377C6"/>
    <w:rsid w:val="005469E9"/>
    <w:rsid w:val="005573E2"/>
    <w:rsid w:val="005723C1"/>
    <w:rsid w:val="00574689"/>
    <w:rsid w:val="005750BD"/>
    <w:rsid w:val="005751BB"/>
    <w:rsid w:val="00590E82"/>
    <w:rsid w:val="00595A27"/>
    <w:rsid w:val="005A04B6"/>
    <w:rsid w:val="005B3F0B"/>
    <w:rsid w:val="005D035F"/>
    <w:rsid w:val="005D4C3F"/>
    <w:rsid w:val="005E02D0"/>
    <w:rsid w:val="005E579A"/>
    <w:rsid w:val="005F48BD"/>
    <w:rsid w:val="006031C4"/>
    <w:rsid w:val="00615611"/>
    <w:rsid w:val="00621A40"/>
    <w:rsid w:val="00621E85"/>
    <w:rsid w:val="00625694"/>
    <w:rsid w:val="00625D20"/>
    <w:rsid w:val="00634F7B"/>
    <w:rsid w:val="00635301"/>
    <w:rsid w:val="00636DA1"/>
    <w:rsid w:val="00644789"/>
    <w:rsid w:val="006466AF"/>
    <w:rsid w:val="0065327D"/>
    <w:rsid w:val="00656464"/>
    <w:rsid w:val="00657053"/>
    <w:rsid w:val="00661CB4"/>
    <w:rsid w:val="00665930"/>
    <w:rsid w:val="00672434"/>
    <w:rsid w:val="00680090"/>
    <w:rsid w:val="00681EBE"/>
    <w:rsid w:val="00682D71"/>
    <w:rsid w:val="0068497D"/>
    <w:rsid w:val="00697A5A"/>
    <w:rsid w:val="006B279A"/>
    <w:rsid w:val="006E706F"/>
    <w:rsid w:val="006F15E6"/>
    <w:rsid w:val="006F1B7D"/>
    <w:rsid w:val="006F4D4F"/>
    <w:rsid w:val="00704074"/>
    <w:rsid w:val="00706D04"/>
    <w:rsid w:val="00713F02"/>
    <w:rsid w:val="00714435"/>
    <w:rsid w:val="007156BD"/>
    <w:rsid w:val="00717BFD"/>
    <w:rsid w:val="007218A9"/>
    <w:rsid w:val="00723416"/>
    <w:rsid w:val="007351B8"/>
    <w:rsid w:val="007375A1"/>
    <w:rsid w:val="00741359"/>
    <w:rsid w:val="007421E5"/>
    <w:rsid w:val="00743367"/>
    <w:rsid w:val="007520AD"/>
    <w:rsid w:val="007550BE"/>
    <w:rsid w:val="0075672F"/>
    <w:rsid w:val="00756797"/>
    <w:rsid w:val="00756893"/>
    <w:rsid w:val="007568FC"/>
    <w:rsid w:val="007664F5"/>
    <w:rsid w:val="0077205D"/>
    <w:rsid w:val="00774555"/>
    <w:rsid w:val="0077478D"/>
    <w:rsid w:val="00780BB9"/>
    <w:rsid w:val="007820FD"/>
    <w:rsid w:val="007820FF"/>
    <w:rsid w:val="007944D3"/>
    <w:rsid w:val="00797C9D"/>
    <w:rsid w:val="007A011C"/>
    <w:rsid w:val="007A0CE8"/>
    <w:rsid w:val="007C0069"/>
    <w:rsid w:val="007C1BFE"/>
    <w:rsid w:val="007C5A56"/>
    <w:rsid w:val="007D3DB4"/>
    <w:rsid w:val="007D6004"/>
    <w:rsid w:val="007D6C55"/>
    <w:rsid w:val="007E49EF"/>
    <w:rsid w:val="007E6A83"/>
    <w:rsid w:val="007F1C59"/>
    <w:rsid w:val="007F2195"/>
    <w:rsid w:val="007F3C27"/>
    <w:rsid w:val="007F4CBE"/>
    <w:rsid w:val="007F7D05"/>
    <w:rsid w:val="008169C0"/>
    <w:rsid w:val="008179CE"/>
    <w:rsid w:val="00822E00"/>
    <w:rsid w:val="0082747B"/>
    <w:rsid w:val="00827F5D"/>
    <w:rsid w:val="00831ECF"/>
    <w:rsid w:val="00833439"/>
    <w:rsid w:val="00833C81"/>
    <w:rsid w:val="00834CF1"/>
    <w:rsid w:val="00837C17"/>
    <w:rsid w:val="00842725"/>
    <w:rsid w:val="008503D1"/>
    <w:rsid w:val="00852216"/>
    <w:rsid w:val="008606DC"/>
    <w:rsid w:val="00863E85"/>
    <w:rsid w:val="008727B0"/>
    <w:rsid w:val="008741B2"/>
    <w:rsid w:val="00877BAA"/>
    <w:rsid w:val="008A06E6"/>
    <w:rsid w:val="008B09AF"/>
    <w:rsid w:val="008B58AD"/>
    <w:rsid w:val="008B6B21"/>
    <w:rsid w:val="008B7C1F"/>
    <w:rsid w:val="008C06D6"/>
    <w:rsid w:val="008D02E9"/>
    <w:rsid w:val="008D4FA3"/>
    <w:rsid w:val="008E6BE9"/>
    <w:rsid w:val="008F6F09"/>
    <w:rsid w:val="00903EF4"/>
    <w:rsid w:val="009042CC"/>
    <w:rsid w:val="009141C9"/>
    <w:rsid w:val="0093558A"/>
    <w:rsid w:val="00940AF6"/>
    <w:rsid w:val="00947D94"/>
    <w:rsid w:val="009707F4"/>
    <w:rsid w:val="00972ED8"/>
    <w:rsid w:val="00974449"/>
    <w:rsid w:val="009754B8"/>
    <w:rsid w:val="00976502"/>
    <w:rsid w:val="009B2D2C"/>
    <w:rsid w:val="009B412D"/>
    <w:rsid w:val="009C3EC3"/>
    <w:rsid w:val="009C5340"/>
    <w:rsid w:val="009C7097"/>
    <w:rsid w:val="009D02DE"/>
    <w:rsid w:val="009D41A2"/>
    <w:rsid w:val="009D6249"/>
    <w:rsid w:val="009D7913"/>
    <w:rsid w:val="009F2757"/>
    <w:rsid w:val="00A0773E"/>
    <w:rsid w:val="00A10CDA"/>
    <w:rsid w:val="00A12D10"/>
    <w:rsid w:val="00A13925"/>
    <w:rsid w:val="00A1583E"/>
    <w:rsid w:val="00A21CE0"/>
    <w:rsid w:val="00A27CC3"/>
    <w:rsid w:val="00A33FCC"/>
    <w:rsid w:val="00A46E47"/>
    <w:rsid w:val="00A56016"/>
    <w:rsid w:val="00A675AF"/>
    <w:rsid w:val="00A72E84"/>
    <w:rsid w:val="00A763B3"/>
    <w:rsid w:val="00A77FD5"/>
    <w:rsid w:val="00A82B91"/>
    <w:rsid w:val="00A847BC"/>
    <w:rsid w:val="00A9059F"/>
    <w:rsid w:val="00A90C21"/>
    <w:rsid w:val="00A90DFC"/>
    <w:rsid w:val="00A91EFC"/>
    <w:rsid w:val="00A93007"/>
    <w:rsid w:val="00AB2DA3"/>
    <w:rsid w:val="00AC7696"/>
    <w:rsid w:val="00AD19FD"/>
    <w:rsid w:val="00AD1DA8"/>
    <w:rsid w:val="00AE04E4"/>
    <w:rsid w:val="00AE1DE1"/>
    <w:rsid w:val="00AE20CF"/>
    <w:rsid w:val="00AE210E"/>
    <w:rsid w:val="00AF0CB9"/>
    <w:rsid w:val="00AF2785"/>
    <w:rsid w:val="00AF43BD"/>
    <w:rsid w:val="00AF5D42"/>
    <w:rsid w:val="00B05F44"/>
    <w:rsid w:val="00B10F48"/>
    <w:rsid w:val="00B1221D"/>
    <w:rsid w:val="00B157EB"/>
    <w:rsid w:val="00B25AE4"/>
    <w:rsid w:val="00B318CB"/>
    <w:rsid w:val="00B35788"/>
    <w:rsid w:val="00B41BC8"/>
    <w:rsid w:val="00B42918"/>
    <w:rsid w:val="00B54424"/>
    <w:rsid w:val="00B6431F"/>
    <w:rsid w:val="00B678C2"/>
    <w:rsid w:val="00B77233"/>
    <w:rsid w:val="00B818AF"/>
    <w:rsid w:val="00B834A3"/>
    <w:rsid w:val="00B87457"/>
    <w:rsid w:val="00B97CBF"/>
    <w:rsid w:val="00BB14BE"/>
    <w:rsid w:val="00BB2FE5"/>
    <w:rsid w:val="00BB340D"/>
    <w:rsid w:val="00BB3E74"/>
    <w:rsid w:val="00BB7791"/>
    <w:rsid w:val="00BC0DE6"/>
    <w:rsid w:val="00BD1F69"/>
    <w:rsid w:val="00BE67EF"/>
    <w:rsid w:val="00BF402E"/>
    <w:rsid w:val="00BF70A3"/>
    <w:rsid w:val="00C0354F"/>
    <w:rsid w:val="00C07380"/>
    <w:rsid w:val="00C12755"/>
    <w:rsid w:val="00C1617C"/>
    <w:rsid w:val="00C16D2D"/>
    <w:rsid w:val="00C34B41"/>
    <w:rsid w:val="00C419B3"/>
    <w:rsid w:val="00C424C8"/>
    <w:rsid w:val="00C447DF"/>
    <w:rsid w:val="00C458A8"/>
    <w:rsid w:val="00C52AAC"/>
    <w:rsid w:val="00C55BD7"/>
    <w:rsid w:val="00C60C5E"/>
    <w:rsid w:val="00C62F7A"/>
    <w:rsid w:val="00C6704E"/>
    <w:rsid w:val="00C71FB9"/>
    <w:rsid w:val="00C73BCE"/>
    <w:rsid w:val="00C87D91"/>
    <w:rsid w:val="00CA0B72"/>
    <w:rsid w:val="00CA0E35"/>
    <w:rsid w:val="00CA3D83"/>
    <w:rsid w:val="00CB7132"/>
    <w:rsid w:val="00CC34FA"/>
    <w:rsid w:val="00CD100A"/>
    <w:rsid w:val="00CD650E"/>
    <w:rsid w:val="00CF1C3E"/>
    <w:rsid w:val="00CF2643"/>
    <w:rsid w:val="00CF6167"/>
    <w:rsid w:val="00D1531A"/>
    <w:rsid w:val="00D15E2E"/>
    <w:rsid w:val="00D216B6"/>
    <w:rsid w:val="00D2494D"/>
    <w:rsid w:val="00D4052A"/>
    <w:rsid w:val="00D42DF6"/>
    <w:rsid w:val="00D45388"/>
    <w:rsid w:val="00D53FB5"/>
    <w:rsid w:val="00D57BED"/>
    <w:rsid w:val="00D67236"/>
    <w:rsid w:val="00D73B76"/>
    <w:rsid w:val="00D75A8D"/>
    <w:rsid w:val="00D80C8C"/>
    <w:rsid w:val="00D92EE1"/>
    <w:rsid w:val="00D97217"/>
    <w:rsid w:val="00DA6E8D"/>
    <w:rsid w:val="00DB3567"/>
    <w:rsid w:val="00DB7942"/>
    <w:rsid w:val="00DB7E0B"/>
    <w:rsid w:val="00DC7604"/>
    <w:rsid w:val="00DD14C4"/>
    <w:rsid w:val="00DD7B45"/>
    <w:rsid w:val="00DE1D94"/>
    <w:rsid w:val="00DE1E9C"/>
    <w:rsid w:val="00DF00C7"/>
    <w:rsid w:val="00DF0676"/>
    <w:rsid w:val="00DF18DF"/>
    <w:rsid w:val="00DF3799"/>
    <w:rsid w:val="00DF4717"/>
    <w:rsid w:val="00DF6A3C"/>
    <w:rsid w:val="00DF7ADB"/>
    <w:rsid w:val="00E00A46"/>
    <w:rsid w:val="00E01B89"/>
    <w:rsid w:val="00E3124B"/>
    <w:rsid w:val="00E418BF"/>
    <w:rsid w:val="00E441E7"/>
    <w:rsid w:val="00E449B1"/>
    <w:rsid w:val="00E5509D"/>
    <w:rsid w:val="00E56526"/>
    <w:rsid w:val="00E5716E"/>
    <w:rsid w:val="00E66B38"/>
    <w:rsid w:val="00E72887"/>
    <w:rsid w:val="00E81F65"/>
    <w:rsid w:val="00E8391A"/>
    <w:rsid w:val="00E91C7F"/>
    <w:rsid w:val="00E923A5"/>
    <w:rsid w:val="00E923A8"/>
    <w:rsid w:val="00EB18A0"/>
    <w:rsid w:val="00EC09F4"/>
    <w:rsid w:val="00EC5C6E"/>
    <w:rsid w:val="00EC66A9"/>
    <w:rsid w:val="00ED1123"/>
    <w:rsid w:val="00ED2B5A"/>
    <w:rsid w:val="00ED5281"/>
    <w:rsid w:val="00EE5FBD"/>
    <w:rsid w:val="00EE6E26"/>
    <w:rsid w:val="00EF0560"/>
    <w:rsid w:val="00F05822"/>
    <w:rsid w:val="00F33D97"/>
    <w:rsid w:val="00F572D6"/>
    <w:rsid w:val="00F627B8"/>
    <w:rsid w:val="00F66100"/>
    <w:rsid w:val="00F70C25"/>
    <w:rsid w:val="00F72323"/>
    <w:rsid w:val="00F74319"/>
    <w:rsid w:val="00F77F93"/>
    <w:rsid w:val="00F80909"/>
    <w:rsid w:val="00F81062"/>
    <w:rsid w:val="00F83D1A"/>
    <w:rsid w:val="00F97903"/>
    <w:rsid w:val="00FA001A"/>
    <w:rsid w:val="00FA2070"/>
    <w:rsid w:val="00FA3177"/>
    <w:rsid w:val="00FA7408"/>
    <w:rsid w:val="00FC23A6"/>
    <w:rsid w:val="00FD09E0"/>
    <w:rsid w:val="00FD184F"/>
    <w:rsid w:val="00FE2878"/>
    <w:rsid w:val="00FE5BF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3DC6A4BC-26C2-46D8-A2CD-E8823A311C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9059F"/>
    <w:pPr>
      <w:spacing w:after="0" w:line="240" w:lineRule="auto"/>
    </w:pPr>
    <w:rPr>
      <w:rFonts w:eastAsia="Times New Roman"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A9059F"/>
    <w:pPr>
      <w:spacing w:after="0" w:line="240" w:lineRule="auto"/>
    </w:pPr>
    <w:rPr>
      <w:rFonts w:eastAsia="Times New Roman" w:cs="Times New Roman"/>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
    <w:basedOn w:val="Normal"/>
    <w:link w:val="ListParagraphChar"/>
    <w:uiPriority w:val="34"/>
    <w:qFormat/>
    <w:rsid w:val="00A9059F"/>
    <w:pPr>
      <w:ind w:left="720"/>
      <w:contextualSpacing/>
    </w:pPr>
  </w:style>
  <w:style w:type="paragraph" w:styleId="Footer">
    <w:name w:val="footer"/>
    <w:aliases w:val="Doc Footer"/>
    <w:basedOn w:val="Normal"/>
    <w:link w:val="FooterChar"/>
    <w:uiPriority w:val="99"/>
    <w:unhideWhenUsed/>
    <w:rsid w:val="00A9059F"/>
    <w:pPr>
      <w:tabs>
        <w:tab w:val="center" w:pos="4513"/>
        <w:tab w:val="right" w:pos="9026"/>
      </w:tabs>
    </w:pPr>
  </w:style>
  <w:style w:type="character" w:customStyle="1" w:styleId="FooterChar">
    <w:name w:val="Footer Char"/>
    <w:aliases w:val="Doc Footer Char"/>
    <w:basedOn w:val="DefaultParagraphFont"/>
    <w:link w:val="Footer"/>
    <w:uiPriority w:val="99"/>
    <w:rsid w:val="00A9059F"/>
    <w:rPr>
      <w:rFonts w:eastAsia="Times New Roman" w:cs="Times New Roman"/>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locked/>
    <w:rsid w:val="00A9059F"/>
    <w:rPr>
      <w:rFonts w:eastAsia="Times New Roman" w:cs="Times New Roman"/>
    </w:rPr>
  </w:style>
  <w:style w:type="paragraph" w:styleId="BalloonText">
    <w:name w:val="Balloon Text"/>
    <w:basedOn w:val="Normal"/>
    <w:link w:val="BalloonTextChar"/>
    <w:uiPriority w:val="99"/>
    <w:semiHidden/>
    <w:unhideWhenUsed/>
    <w:rsid w:val="00A9059F"/>
    <w:rPr>
      <w:rFonts w:ascii="Tahoma" w:hAnsi="Tahoma" w:cs="Tahoma"/>
      <w:sz w:val="16"/>
      <w:szCs w:val="16"/>
    </w:rPr>
  </w:style>
  <w:style w:type="character" w:customStyle="1" w:styleId="BalloonTextChar">
    <w:name w:val="Balloon Text Char"/>
    <w:basedOn w:val="DefaultParagraphFont"/>
    <w:link w:val="BalloonText"/>
    <w:uiPriority w:val="99"/>
    <w:semiHidden/>
    <w:rsid w:val="00A9059F"/>
    <w:rPr>
      <w:rFonts w:ascii="Tahoma" w:eastAsia="Times New Roman" w:hAnsi="Tahoma" w:cs="Tahoma"/>
      <w:sz w:val="16"/>
      <w:szCs w:val="16"/>
    </w:rPr>
  </w:style>
  <w:style w:type="character" w:styleId="CommentReference">
    <w:name w:val="annotation reference"/>
    <w:basedOn w:val="DefaultParagraphFont"/>
    <w:uiPriority w:val="99"/>
    <w:semiHidden/>
    <w:unhideWhenUsed/>
    <w:rsid w:val="00295CD3"/>
    <w:rPr>
      <w:sz w:val="16"/>
      <w:szCs w:val="16"/>
    </w:rPr>
  </w:style>
  <w:style w:type="paragraph" w:styleId="CommentText">
    <w:name w:val="annotation text"/>
    <w:basedOn w:val="Normal"/>
    <w:link w:val="CommentTextChar"/>
    <w:uiPriority w:val="99"/>
    <w:semiHidden/>
    <w:unhideWhenUsed/>
    <w:rsid w:val="00295CD3"/>
    <w:rPr>
      <w:sz w:val="20"/>
      <w:szCs w:val="20"/>
    </w:rPr>
  </w:style>
  <w:style w:type="character" w:customStyle="1" w:styleId="CommentTextChar">
    <w:name w:val="Comment Text Char"/>
    <w:basedOn w:val="DefaultParagraphFont"/>
    <w:link w:val="CommentText"/>
    <w:uiPriority w:val="99"/>
    <w:semiHidden/>
    <w:rsid w:val="00295CD3"/>
    <w:rPr>
      <w:rFonts w:eastAsia="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295CD3"/>
    <w:rPr>
      <w:b/>
      <w:bCs/>
    </w:rPr>
  </w:style>
  <w:style w:type="character" w:customStyle="1" w:styleId="CommentSubjectChar">
    <w:name w:val="Comment Subject Char"/>
    <w:basedOn w:val="CommentTextChar"/>
    <w:link w:val="CommentSubject"/>
    <w:uiPriority w:val="99"/>
    <w:semiHidden/>
    <w:rsid w:val="00295CD3"/>
    <w:rPr>
      <w:rFonts w:eastAsia="Times New Roman" w:cs="Times New Roman"/>
      <w:b/>
      <w:bCs/>
      <w:sz w:val="20"/>
      <w:szCs w:val="20"/>
    </w:rPr>
  </w:style>
  <w:style w:type="paragraph" w:styleId="NoSpacing">
    <w:name w:val="No Spacing"/>
    <w:link w:val="NoSpacingChar"/>
    <w:uiPriority w:val="1"/>
    <w:qFormat/>
    <w:rsid w:val="00EC66A9"/>
    <w:pPr>
      <w:spacing w:after="0" w:line="240" w:lineRule="auto"/>
    </w:pPr>
  </w:style>
  <w:style w:type="character" w:customStyle="1" w:styleId="NoSpacingChar">
    <w:name w:val="No Spacing Char"/>
    <w:link w:val="NoSpacing"/>
    <w:uiPriority w:val="1"/>
    <w:rsid w:val="00EC66A9"/>
  </w:style>
  <w:style w:type="character" w:styleId="Hyperlink">
    <w:name w:val="Hyperlink"/>
    <w:basedOn w:val="DefaultParagraphFont"/>
    <w:uiPriority w:val="99"/>
    <w:unhideWhenUsed/>
    <w:rsid w:val="000B6DBE"/>
    <w:rPr>
      <w:color w:val="0000FF" w:themeColor="hyperlink"/>
      <w:u w:val="single"/>
    </w:rPr>
  </w:style>
  <w:style w:type="paragraph" w:styleId="Header">
    <w:name w:val="header"/>
    <w:basedOn w:val="Normal"/>
    <w:link w:val="HeaderChar"/>
    <w:uiPriority w:val="99"/>
    <w:unhideWhenUsed/>
    <w:rsid w:val="000B6DBE"/>
    <w:pPr>
      <w:tabs>
        <w:tab w:val="center" w:pos="4680"/>
        <w:tab w:val="right" w:pos="9360"/>
      </w:tabs>
    </w:pPr>
  </w:style>
  <w:style w:type="character" w:customStyle="1" w:styleId="HeaderChar">
    <w:name w:val="Header Char"/>
    <w:basedOn w:val="DefaultParagraphFont"/>
    <w:link w:val="Header"/>
    <w:uiPriority w:val="99"/>
    <w:rsid w:val="000B6DBE"/>
    <w:rPr>
      <w:rFonts w:eastAsia="Times New Roman" w:cs="Times New Roman"/>
    </w:rPr>
  </w:style>
  <w:style w:type="table" w:customStyle="1" w:styleId="TableGrid1">
    <w:name w:val="Table Grid1"/>
    <w:basedOn w:val="TableNormal"/>
    <w:next w:val="TableGrid"/>
    <w:uiPriority w:val="59"/>
    <w:rsid w:val="00C73BCE"/>
    <w:pPr>
      <w:spacing w:after="0" w:line="240" w:lineRule="auto"/>
    </w:pPr>
    <w:rPr>
      <w:rFonts w:eastAsia="Times New Roman" w:cs="Times New Roman"/>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FooterChar1">
    <w:name w:val="Footer Char1"/>
    <w:aliases w:val="Doc Footer Char1"/>
    <w:locked/>
    <w:rsid w:val="008E6BE9"/>
    <w:rPr>
      <w:rFonts w:ascii="Arial" w:hAnsi="Arial"/>
      <w:sz w:val="28"/>
      <w:szCs w:val="24"/>
      <w:lang w:val="en-GB" w:eastAsia="en-GB" w:bidi="ar-SA"/>
    </w:rPr>
  </w:style>
  <w:style w:type="paragraph" w:customStyle="1" w:styleId="Default">
    <w:name w:val="Default"/>
    <w:rsid w:val="000F6EF2"/>
    <w:pPr>
      <w:autoSpaceDE w:val="0"/>
      <w:autoSpaceDN w:val="0"/>
      <w:adjustRightInd w:val="0"/>
      <w:spacing w:after="0" w:line="240" w:lineRule="auto"/>
    </w:pPr>
    <w:rPr>
      <w:rFonts w:ascii="Calibri" w:hAnsi="Calibri" w:cs="Calibri"/>
      <w:color w:val="000000"/>
      <w:sz w:val="24"/>
      <w:szCs w:val="24"/>
    </w:rPr>
  </w:style>
  <w:style w:type="paragraph" w:styleId="NormalWeb">
    <w:name w:val="Normal (Web)"/>
    <w:basedOn w:val="Normal"/>
    <w:uiPriority w:val="99"/>
    <w:semiHidden/>
    <w:unhideWhenUsed/>
    <w:rsid w:val="00A763B3"/>
    <w:pPr>
      <w:spacing w:before="100" w:beforeAutospacing="1" w:after="100" w:afterAutospacing="1"/>
    </w:pPr>
    <w:rPr>
      <w:rFonts w:ascii="Times New Roman" w:eastAsiaTheme="minorHAnsi" w:hAnsi="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752235">
      <w:bodyDiv w:val="1"/>
      <w:marLeft w:val="0"/>
      <w:marRight w:val="0"/>
      <w:marTop w:val="0"/>
      <w:marBottom w:val="0"/>
      <w:divBdr>
        <w:top w:val="none" w:sz="0" w:space="0" w:color="auto"/>
        <w:left w:val="none" w:sz="0" w:space="0" w:color="auto"/>
        <w:bottom w:val="none" w:sz="0" w:space="0" w:color="auto"/>
        <w:right w:val="none" w:sz="0" w:space="0" w:color="auto"/>
      </w:divBdr>
    </w:div>
    <w:div w:id="10879139">
      <w:bodyDiv w:val="1"/>
      <w:marLeft w:val="0"/>
      <w:marRight w:val="0"/>
      <w:marTop w:val="0"/>
      <w:marBottom w:val="0"/>
      <w:divBdr>
        <w:top w:val="none" w:sz="0" w:space="0" w:color="auto"/>
        <w:left w:val="none" w:sz="0" w:space="0" w:color="auto"/>
        <w:bottom w:val="none" w:sz="0" w:space="0" w:color="auto"/>
        <w:right w:val="none" w:sz="0" w:space="0" w:color="auto"/>
      </w:divBdr>
    </w:div>
    <w:div w:id="33358012">
      <w:bodyDiv w:val="1"/>
      <w:marLeft w:val="0"/>
      <w:marRight w:val="0"/>
      <w:marTop w:val="0"/>
      <w:marBottom w:val="0"/>
      <w:divBdr>
        <w:top w:val="none" w:sz="0" w:space="0" w:color="auto"/>
        <w:left w:val="none" w:sz="0" w:space="0" w:color="auto"/>
        <w:bottom w:val="none" w:sz="0" w:space="0" w:color="auto"/>
        <w:right w:val="none" w:sz="0" w:space="0" w:color="auto"/>
      </w:divBdr>
    </w:div>
    <w:div w:id="109668680">
      <w:bodyDiv w:val="1"/>
      <w:marLeft w:val="0"/>
      <w:marRight w:val="0"/>
      <w:marTop w:val="0"/>
      <w:marBottom w:val="0"/>
      <w:divBdr>
        <w:top w:val="none" w:sz="0" w:space="0" w:color="auto"/>
        <w:left w:val="none" w:sz="0" w:space="0" w:color="auto"/>
        <w:bottom w:val="none" w:sz="0" w:space="0" w:color="auto"/>
        <w:right w:val="none" w:sz="0" w:space="0" w:color="auto"/>
      </w:divBdr>
    </w:div>
    <w:div w:id="114451196">
      <w:bodyDiv w:val="1"/>
      <w:marLeft w:val="0"/>
      <w:marRight w:val="0"/>
      <w:marTop w:val="0"/>
      <w:marBottom w:val="0"/>
      <w:divBdr>
        <w:top w:val="none" w:sz="0" w:space="0" w:color="auto"/>
        <w:left w:val="none" w:sz="0" w:space="0" w:color="auto"/>
        <w:bottom w:val="none" w:sz="0" w:space="0" w:color="auto"/>
        <w:right w:val="none" w:sz="0" w:space="0" w:color="auto"/>
      </w:divBdr>
      <w:divsChild>
        <w:div w:id="56436658">
          <w:marLeft w:val="446"/>
          <w:marRight w:val="0"/>
          <w:marTop w:val="0"/>
          <w:marBottom w:val="0"/>
          <w:divBdr>
            <w:top w:val="none" w:sz="0" w:space="0" w:color="auto"/>
            <w:left w:val="none" w:sz="0" w:space="0" w:color="auto"/>
            <w:bottom w:val="none" w:sz="0" w:space="0" w:color="auto"/>
            <w:right w:val="none" w:sz="0" w:space="0" w:color="auto"/>
          </w:divBdr>
        </w:div>
        <w:div w:id="1516189057">
          <w:marLeft w:val="446"/>
          <w:marRight w:val="0"/>
          <w:marTop w:val="0"/>
          <w:marBottom w:val="0"/>
          <w:divBdr>
            <w:top w:val="none" w:sz="0" w:space="0" w:color="auto"/>
            <w:left w:val="none" w:sz="0" w:space="0" w:color="auto"/>
            <w:bottom w:val="none" w:sz="0" w:space="0" w:color="auto"/>
            <w:right w:val="none" w:sz="0" w:space="0" w:color="auto"/>
          </w:divBdr>
        </w:div>
        <w:div w:id="795413944">
          <w:marLeft w:val="446"/>
          <w:marRight w:val="0"/>
          <w:marTop w:val="0"/>
          <w:marBottom w:val="0"/>
          <w:divBdr>
            <w:top w:val="none" w:sz="0" w:space="0" w:color="auto"/>
            <w:left w:val="none" w:sz="0" w:space="0" w:color="auto"/>
            <w:bottom w:val="none" w:sz="0" w:space="0" w:color="auto"/>
            <w:right w:val="none" w:sz="0" w:space="0" w:color="auto"/>
          </w:divBdr>
        </w:div>
        <w:div w:id="2120686642">
          <w:marLeft w:val="446"/>
          <w:marRight w:val="0"/>
          <w:marTop w:val="0"/>
          <w:marBottom w:val="0"/>
          <w:divBdr>
            <w:top w:val="none" w:sz="0" w:space="0" w:color="auto"/>
            <w:left w:val="none" w:sz="0" w:space="0" w:color="auto"/>
            <w:bottom w:val="none" w:sz="0" w:space="0" w:color="auto"/>
            <w:right w:val="none" w:sz="0" w:space="0" w:color="auto"/>
          </w:divBdr>
        </w:div>
        <w:div w:id="1918978799">
          <w:marLeft w:val="446"/>
          <w:marRight w:val="0"/>
          <w:marTop w:val="0"/>
          <w:marBottom w:val="0"/>
          <w:divBdr>
            <w:top w:val="none" w:sz="0" w:space="0" w:color="auto"/>
            <w:left w:val="none" w:sz="0" w:space="0" w:color="auto"/>
            <w:bottom w:val="none" w:sz="0" w:space="0" w:color="auto"/>
            <w:right w:val="none" w:sz="0" w:space="0" w:color="auto"/>
          </w:divBdr>
        </w:div>
        <w:div w:id="203951486">
          <w:marLeft w:val="446"/>
          <w:marRight w:val="0"/>
          <w:marTop w:val="0"/>
          <w:marBottom w:val="0"/>
          <w:divBdr>
            <w:top w:val="none" w:sz="0" w:space="0" w:color="auto"/>
            <w:left w:val="none" w:sz="0" w:space="0" w:color="auto"/>
            <w:bottom w:val="none" w:sz="0" w:space="0" w:color="auto"/>
            <w:right w:val="none" w:sz="0" w:space="0" w:color="auto"/>
          </w:divBdr>
        </w:div>
        <w:div w:id="1082602039">
          <w:marLeft w:val="446"/>
          <w:marRight w:val="0"/>
          <w:marTop w:val="0"/>
          <w:marBottom w:val="0"/>
          <w:divBdr>
            <w:top w:val="none" w:sz="0" w:space="0" w:color="auto"/>
            <w:left w:val="none" w:sz="0" w:space="0" w:color="auto"/>
            <w:bottom w:val="none" w:sz="0" w:space="0" w:color="auto"/>
            <w:right w:val="none" w:sz="0" w:space="0" w:color="auto"/>
          </w:divBdr>
        </w:div>
      </w:divsChild>
    </w:div>
    <w:div w:id="388306944">
      <w:bodyDiv w:val="1"/>
      <w:marLeft w:val="0"/>
      <w:marRight w:val="0"/>
      <w:marTop w:val="0"/>
      <w:marBottom w:val="0"/>
      <w:divBdr>
        <w:top w:val="none" w:sz="0" w:space="0" w:color="auto"/>
        <w:left w:val="none" w:sz="0" w:space="0" w:color="auto"/>
        <w:bottom w:val="none" w:sz="0" w:space="0" w:color="auto"/>
        <w:right w:val="none" w:sz="0" w:space="0" w:color="auto"/>
      </w:divBdr>
      <w:divsChild>
        <w:div w:id="1154100207">
          <w:marLeft w:val="547"/>
          <w:marRight w:val="0"/>
          <w:marTop w:val="0"/>
          <w:marBottom w:val="0"/>
          <w:divBdr>
            <w:top w:val="none" w:sz="0" w:space="0" w:color="auto"/>
            <w:left w:val="none" w:sz="0" w:space="0" w:color="auto"/>
            <w:bottom w:val="none" w:sz="0" w:space="0" w:color="auto"/>
            <w:right w:val="none" w:sz="0" w:space="0" w:color="auto"/>
          </w:divBdr>
        </w:div>
        <w:div w:id="198054127">
          <w:marLeft w:val="547"/>
          <w:marRight w:val="0"/>
          <w:marTop w:val="0"/>
          <w:marBottom w:val="0"/>
          <w:divBdr>
            <w:top w:val="none" w:sz="0" w:space="0" w:color="auto"/>
            <w:left w:val="none" w:sz="0" w:space="0" w:color="auto"/>
            <w:bottom w:val="none" w:sz="0" w:space="0" w:color="auto"/>
            <w:right w:val="none" w:sz="0" w:space="0" w:color="auto"/>
          </w:divBdr>
        </w:div>
        <w:div w:id="40520963">
          <w:marLeft w:val="547"/>
          <w:marRight w:val="0"/>
          <w:marTop w:val="0"/>
          <w:marBottom w:val="0"/>
          <w:divBdr>
            <w:top w:val="none" w:sz="0" w:space="0" w:color="auto"/>
            <w:left w:val="none" w:sz="0" w:space="0" w:color="auto"/>
            <w:bottom w:val="none" w:sz="0" w:space="0" w:color="auto"/>
            <w:right w:val="none" w:sz="0" w:space="0" w:color="auto"/>
          </w:divBdr>
        </w:div>
        <w:div w:id="758789654">
          <w:marLeft w:val="547"/>
          <w:marRight w:val="0"/>
          <w:marTop w:val="0"/>
          <w:marBottom w:val="0"/>
          <w:divBdr>
            <w:top w:val="none" w:sz="0" w:space="0" w:color="auto"/>
            <w:left w:val="none" w:sz="0" w:space="0" w:color="auto"/>
            <w:bottom w:val="none" w:sz="0" w:space="0" w:color="auto"/>
            <w:right w:val="none" w:sz="0" w:space="0" w:color="auto"/>
          </w:divBdr>
        </w:div>
        <w:div w:id="42100372">
          <w:marLeft w:val="547"/>
          <w:marRight w:val="0"/>
          <w:marTop w:val="0"/>
          <w:marBottom w:val="0"/>
          <w:divBdr>
            <w:top w:val="none" w:sz="0" w:space="0" w:color="auto"/>
            <w:left w:val="none" w:sz="0" w:space="0" w:color="auto"/>
            <w:bottom w:val="none" w:sz="0" w:space="0" w:color="auto"/>
            <w:right w:val="none" w:sz="0" w:space="0" w:color="auto"/>
          </w:divBdr>
        </w:div>
        <w:div w:id="2106923013">
          <w:marLeft w:val="547"/>
          <w:marRight w:val="0"/>
          <w:marTop w:val="0"/>
          <w:marBottom w:val="0"/>
          <w:divBdr>
            <w:top w:val="none" w:sz="0" w:space="0" w:color="auto"/>
            <w:left w:val="none" w:sz="0" w:space="0" w:color="auto"/>
            <w:bottom w:val="none" w:sz="0" w:space="0" w:color="auto"/>
            <w:right w:val="none" w:sz="0" w:space="0" w:color="auto"/>
          </w:divBdr>
        </w:div>
        <w:div w:id="940261641">
          <w:marLeft w:val="547"/>
          <w:marRight w:val="0"/>
          <w:marTop w:val="0"/>
          <w:marBottom w:val="0"/>
          <w:divBdr>
            <w:top w:val="none" w:sz="0" w:space="0" w:color="auto"/>
            <w:left w:val="none" w:sz="0" w:space="0" w:color="auto"/>
            <w:bottom w:val="none" w:sz="0" w:space="0" w:color="auto"/>
            <w:right w:val="none" w:sz="0" w:space="0" w:color="auto"/>
          </w:divBdr>
        </w:div>
      </w:divsChild>
    </w:div>
    <w:div w:id="480081246">
      <w:bodyDiv w:val="1"/>
      <w:marLeft w:val="0"/>
      <w:marRight w:val="0"/>
      <w:marTop w:val="0"/>
      <w:marBottom w:val="0"/>
      <w:divBdr>
        <w:top w:val="none" w:sz="0" w:space="0" w:color="auto"/>
        <w:left w:val="none" w:sz="0" w:space="0" w:color="auto"/>
        <w:bottom w:val="none" w:sz="0" w:space="0" w:color="auto"/>
        <w:right w:val="none" w:sz="0" w:space="0" w:color="auto"/>
      </w:divBdr>
    </w:div>
    <w:div w:id="482814165">
      <w:bodyDiv w:val="1"/>
      <w:marLeft w:val="0"/>
      <w:marRight w:val="0"/>
      <w:marTop w:val="0"/>
      <w:marBottom w:val="0"/>
      <w:divBdr>
        <w:top w:val="none" w:sz="0" w:space="0" w:color="auto"/>
        <w:left w:val="none" w:sz="0" w:space="0" w:color="auto"/>
        <w:bottom w:val="none" w:sz="0" w:space="0" w:color="auto"/>
        <w:right w:val="none" w:sz="0" w:space="0" w:color="auto"/>
      </w:divBdr>
    </w:div>
    <w:div w:id="502668018">
      <w:bodyDiv w:val="1"/>
      <w:marLeft w:val="0"/>
      <w:marRight w:val="0"/>
      <w:marTop w:val="0"/>
      <w:marBottom w:val="0"/>
      <w:divBdr>
        <w:top w:val="none" w:sz="0" w:space="0" w:color="auto"/>
        <w:left w:val="none" w:sz="0" w:space="0" w:color="auto"/>
        <w:bottom w:val="none" w:sz="0" w:space="0" w:color="auto"/>
        <w:right w:val="none" w:sz="0" w:space="0" w:color="auto"/>
      </w:divBdr>
    </w:div>
    <w:div w:id="549653922">
      <w:bodyDiv w:val="1"/>
      <w:marLeft w:val="0"/>
      <w:marRight w:val="0"/>
      <w:marTop w:val="0"/>
      <w:marBottom w:val="0"/>
      <w:divBdr>
        <w:top w:val="none" w:sz="0" w:space="0" w:color="auto"/>
        <w:left w:val="none" w:sz="0" w:space="0" w:color="auto"/>
        <w:bottom w:val="none" w:sz="0" w:space="0" w:color="auto"/>
        <w:right w:val="none" w:sz="0" w:space="0" w:color="auto"/>
      </w:divBdr>
    </w:div>
    <w:div w:id="674922162">
      <w:bodyDiv w:val="1"/>
      <w:marLeft w:val="0"/>
      <w:marRight w:val="0"/>
      <w:marTop w:val="0"/>
      <w:marBottom w:val="0"/>
      <w:divBdr>
        <w:top w:val="none" w:sz="0" w:space="0" w:color="auto"/>
        <w:left w:val="none" w:sz="0" w:space="0" w:color="auto"/>
        <w:bottom w:val="none" w:sz="0" w:space="0" w:color="auto"/>
        <w:right w:val="none" w:sz="0" w:space="0" w:color="auto"/>
      </w:divBdr>
    </w:div>
    <w:div w:id="864440197">
      <w:bodyDiv w:val="1"/>
      <w:marLeft w:val="0"/>
      <w:marRight w:val="0"/>
      <w:marTop w:val="0"/>
      <w:marBottom w:val="0"/>
      <w:divBdr>
        <w:top w:val="none" w:sz="0" w:space="0" w:color="auto"/>
        <w:left w:val="none" w:sz="0" w:space="0" w:color="auto"/>
        <w:bottom w:val="none" w:sz="0" w:space="0" w:color="auto"/>
        <w:right w:val="none" w:sz="0" w:space="0" w:color="auto"/>
      </w:divBdr>
    </w:div>
    <w:div w:id="933174712">
      <w:bodyDiv w:val="1"/>
      <w:marLeft w:val="0"/>
      <w:marRight w:val="0"/>
      <w:marTop w:val="0"/>
      <w:marBottom w:val="0"/>
      <w:divBdr>
        <w:top w:val="none" w:sz="0" w:space="0" w:color="auto"/>
        <w:left w:val="none" w:sz="0" w:space="0" w:color="auto"/>
        <w:bottom w:val="none" w:sz="0" w:space="0" w:color="auto"/>
        <w:right w:val="none" w:sz="0" w:space="0" w:color="auto"/>
      </w:divBdr>
    </w:div>
    <w:div w:id="938441112">
      <w:bodyDiv w:val="1"/>
      <w:marLeft w:val="0"/>
      <w:marRight w:val="0"/>
      <w:marTop w:val="0"/>
      <w:marBottom w:val="0"/>
      <w:divBdr>
        <w:top w:val="none" w:sz="0" w:space="0" w:color="auto"/>
        <w:left w:val="none" w:sz="0" w:space="0" w:color="auto"/>
        <w:bottom w:val="none" w:sz="0" w:space="0" w:color="auto"/>
        <w:right w:val="none" w:sz="0" w:space="0" w:color="auto"/>
      </w:divBdr>
    </w:div>
    <w:div w:id="944657792">
      <w:bodyDiv w:val="1"/>
      <w:marLeft w:val="0"/>
      <w:marRight w:val="0"/>
      <w:marTop w:val="0"/>
      <w:marBottom w:val="0"/>
      <w:divBdr>
        <w:top w:val="none" w:sz="0" w:space="0" w:color="auto"/>
        <w:left w:val="none" w:sz="0" w:space="0" w:color="auto"/>
        <w:bottom w:val="none" w:sz="0" w:space="0" w:color="auto"/>
        <w:right w:val="none" w:sz="0" w:space="0" w:color="auto"/>
      </w:divBdr>
    </w:div>
    <w:div w:id="951744948">
      <w:bodyDiv w:val="1"/>
      <w:marLeft w:val="0"/>
      <w:marRight w:val="0"/>
      <w:marTop w:val="0"/>
      <w:marBottom w:val="0"/>
      <w:divBdr>
        <w:top w:val="none" w:sz="0" w:space="0" w:color="auto"/>
        <w:left w:val="none" w:sz="0" w:space="0" w:color="auto"/>
        <w:bottom w:val="none" w:sz="0" w:space="0" w:color="auto"/>
        <w:right w:val="none" w:sz="0" w:space="0" w:color="auto"/>
      </w:divBdr>
    </w:div>
    <w:div w:id="1009454930">
      <w:bodyDiv w:val="1"/>
      <w:marLeft w:val="0"/>
      <w:marRight w:val="0"/>
      <w:marTop w:val="0"/>
      <w:marBottom w:val="0"/>
      <w:divBdr>
        <w:top w:val="none" w:sz="0" w:space="0" w:color="auto"/>
        <w:left w:val="none" w:sz="0" w:space="0" w:color="auto"/>
        <w:bottom w:val="none" w:sz="0" w:space="0" w:color="auto"/>
        <w:right w:val="none" w:sz="0" w:space="0" w:color="auto"/>
      </w:divBdr>
    </w:div>
    <w:div w:id="1046569315">
      <w:bodyDiv w:val="1"/>
      <w:marLeft w:val="0"/>
      <w:marRight w:val="0"/>
      <w:marTop w:val="0"/>
      <w:marBottom w:val="0"/>
      <w:divBdr>
        <w:top w:val="none" w:sz="0" w:space="0" w:color="auto"/>
        <w:left w:val="none" w:sz="0" w:space="0" w:color="auto"/>
        <w:bottom w:val="none" w:sz="0" w:space="0" w:color="auto"/>
        <w:right w:val="none" w:sz="0" w:space="0" w:color="auto"/>
      </w:divBdr>
    </w:div>
    <w:div w:id="1086733669">
      <w:bodyDiv w:val="1"/>
      <w:marLeft w:val="0"/>
      <w:marRight w:val="0"/>
      <w:marTop w:val="0"/>
      <w:marBottom w:val="0"/>
      <w:divBdr>
        <w:top w:val="none" w:sz="0" w:space="0" w:color="auto"/>
        <w:left w:val="none" w:sz="0" w:space="0" w:color="auto"/>
        <w:bottom w:val="none" w:sz="0" w:space="0" w:color="auto"/>
        <w:right w:val="none" w:sz="0" w:space="0" w:color="auto"/>
      </w:divBdr>
      <w:divsChild>
        <w:div w:id="535699443">
          <w:marLeft w:val="446"/>
          <w:marRight w:val="0"/>
          <w:marTop w:val="0"/>
          <w:marBottom w:val="0"/>
          <w:divBdr>
            <w:top w:val="none" w:sz="0" w:space="0" w:color="auto"/>
            <w:left w:val="none" w:sz="0" w:space="0" w:color="auto"/>
            <w:bottom w:val="none" w:sz="0" w:space="0" w:color="auto"/>
            <w:right w:val="none" w:sz="0" w:space="0" w:color="auto"/>
          </w:divBdr>
        </w:div>
        <w:div w:id="2510669">
          <w:marLeft w:val="446"/>
          <w:marRight w:val="0"/>
          <w:marTop w:val="0"/>
          <w:marBottom w:val="0"/>
          <w:divBdr>
            <w:top w:val="none" w:sz="0" w:space="0" w:color="auto"/>
            <w:left w:val="none" w:sz="0" w:space="0" w:color="auto"/>
            <w:bottom w:val="none" w:sz="0" w:space="0" w:color="auto"/>
            <w:right w:val="none" w:sz="0" w:space="0" w:color="auto"/>
          </w:divBdr>
        </w:div>
        <w:div w:id="1066756502">
          <w:marLeft w:val="446"/>
          <w:marRight w:val="0"/>
          <w:marTop w:val="0"/>
          <w:marBottom w:val="0"/>
          <w:divBdr>
            <w:top w:val="none" w:sz="0" w:space="0" w:color="auto"/>
            <w:left w:val="none" w:sz="0" w:space="0" w:color="auto"/>
            <w:bottom w:val="none" w:sz="0" w:space="0" w:color="auto"/>
            <w:right w:val="none" w:sz="0" w:space="0" w:color="auto"/>
          </w:divBdr>
        </w:div>
      </w:divsChild>
    </w:div>
    <w:div w:id="1129740841">
      <w:bodyDiv w:val="1"/>
      <w:marLeft w:val="0"/>
      <w:marRight w:val="0"/>
      <w:marTop w:val="0"/>
      <w:marBottom w:val="0"/>
      <w:divBdr>
        <w:top w:val="none" w:sz="0" w:space="0" w:color="auto"/>
        <w:left w:val="none" w:sz="0" w:space="0" w:color="auto"/>
        <w:bottom w:val="none" w:sz="0" w:space="0" w:color="auto"/>
        <w:right w:val="none" w:sz="0" w:space="0" w:color="auto"/>
      </w:divBdr>
      <w:divsChild>
        <w:div w:id="828130731">
          <w:marLeft w:val="446"/>
          <w:marRight w:val="0"/>
          <w:marTop w:val="0"/>
          <w:marBottom w:val="0"/>
          <w:divBdr>
            <w:top w:val="none" w:sz="0" w:space="0" w:color="auto"/>
            <w:left w:val="none" w:sz="0" w:space="0" w:color="auto"/>
            <w:bottom w:val="none" w:sz="0" w:space="0" w:color="auto"/>
            <w:right w:val="none" w:sz="0" w:space="0" w:color="auto"/>
          </w:divBdr>
        </w:div>
        <w:div w:id="452598898">
          <w:marLeft w:val="1166"/>
          <w:marRight w:val="0"/>
          <w:marTop w:val="0"/>
          <w:marBottom w:val="0"/>
          <w:divBdr>
            <w:top w:val="none" w:sz="0" w:space="0" w:color="auto"/>
            <w:left w:val="none" w:sz="0" w:space="0" w:color="auto"/>
            <w:bottom w:val="none" w:sz="0" w:space="0" w:color="auto"/>
            <w:right w:val="none" w:sz="0" w:space="0" w:color="auto"/>
          </w:divBdr>
        </w:div>
        <w:div w:id="319037761">
          <w:marLeft w:val="1166"/>
          <w:marRight w:val="0"/>
          <w:marTop w:val="0"/>
          <w:marBottom w:val="0"/>
          <w:divBdr>
            <w:top w:val="none" w:sz="0" w:space="0" w:color="auto"/>
            <w:left w:val="none" w:sz="0" w:space="0" w:color="auto"/>
            <w:bottom w:val="none" w:sz="0" w:space="0" w:color="auto"/>
            <w:right w:val="none" w:sz="0" w:space="0" w:color="auto"/>
          </w:divBdr>
        </w:div>
        <w:div w:id="1663241169">
          <w:marLeft w:val="1166"/>
          <w:marRight w:val="0"/>
          <w:marTop w:val="0"/>
          <w:marBottom w:val="0"/>
          <w:divBdr>
            <w:top w:val="none" w:sz="0" w:space="0" w:color="auto"/>
            <w:left w:val="none" w:sz="0" w:space="0" w:color="auto"/>
            <w:bottom w:val="none" w:sz="0" w:space="0" w:color="auto"/>
            <w:right w:val="none" w:sz="0" w:space="0" w:color="auto"/>
          </w:divBdr>
        </w:div>
        <w:div w:id="1714116678">
          <w:marLeft w:val="1166"/>
          <w:marRight w:val="0"/>
          <w:marTop w:val="0"/>
          <w:marBottom w:val="0"/>
          <w:divBdr>
            <w:top w:val="none" w:sz="0" w:space="0" w:color="auto"/>
            <w:left w:val="none" w:sz="0" w:space="0" w:color="auto"/>
            <w:bottom w:val="none" w:sz="0" w:space="0" w:color="auto"/>
            <w:right w:val="none" w:sz="0" w:space="0" w:color="auto"/>
          </w:divBdr>
        </w:div>
        <w:div w:id="981813925">
          <w:marLeft w:val="446"/>
          <w:marRight w:val="0"/>
          <w:marTop w:val="0"/>
          <w:marBottom w:val="0"/>
          <w:divBdr>
            <w:top w:val="none" w:sz="0" w:space="0" w:color="auto"/>
            <w:left w:val="none" w:sz="0" w:space="0" w:color="auto"/>
            <w:bottom w:val="none" w:sz="0" w:space="0" w:color="auto"/>
            <w:right w:val="none" w:sz="0" w:space="0" w:color="auto"/>
          </w:divBdr>
        </w:div>
      </w:divsChild>
    </w:div>
    <w:div w:id="1142038275">
      <w:bodyDiv w:val="1"/>
      <w:marLeft w:val="0"/>
      <w:marRight w:val="0"/>
      <w:marTop w:val="0"/>
      <w:marBottom w:val="0"/>
      <w:divBdr>
        <w:top w:val="none" w:sz="0" w:space="0" w:color="auto"/>
        <w:left w:val="none" w:sz="0" w:space="0" w:color="auto"/>
        <w:bottom w:val="none" w:sz="0" w:space="0" w:color="auto"/>
        <w:right w:val="none" w:sz="0" w:space="0" w:color="auto"/>
      </w:divBdr>
    </w:div>
    <w:div w:id="1207529174">
      <w:bodyDiv w:val="1"/>
      <w:marLeft w:val="0"/>
      <w:marRight w:val="0"/>
      <w:marTop w:val="0"/>
      <w:marBottom w:val="0"/>
      <w:divBdr>
        <w:top w:val="none" w:sz="0" w:space="0" w:color="auto"/>
        <w:left w:val="none" w:sz="0" w:space="0" w:color="auto"/>
        <w:bottom w:val="none" w:sz="0" w:space="0" w:color="auto"/>
        <w:right w:val="none" w:sz="0" w:space="0" w:color="auto"/>
      </w:divBdr>
    </w:div>
    <w:div w:id="1369795257">
      <w:bodyDiv w:val="1"/>
      <w:marLeft w:val="0"/>
      <w:marRight w:val="0"/>
      <w:marTop w:val="0"/>
      <w:marBottom w:val="0"/>
      <w:divBdr>
        <w:top w:val="none" w:sz="0" w:space="0" w:color="auto"/>
        <w:left w:val="none" w:sz="0" w:space="0" w:color="auto"/>
        <w:bottom w:val="none" w:sz="0" w:space="0" w:color="auto"/>
        <w:right w:val="none" w:sz="0" w:space="0" w:color="auto"/>
      </w:divBdr>
    </w:div>
    <w:div w:id="1370691787">
      <w:bodyDiv w:val="1"/>
      <w:marLeft w:val="0"/>
      <w:marRight w:val="0"/>
      <w:marTop w:val="0"/>
      <w:marBottom w:val="0"/>
      <w:divBdr>
        <w:top w:val="none" w:sz="0" w:space="0" w:color="auto"/>
        <w:left w:val="none" w:sz="0" w:space="0" w:color="auto"/>
        <w:bottom w:val="none" w:sz="0" w:space="0" w:color="auto"/>
        <w:right w:val="none" w:sz="0" w:space="0" w:color="auto"/>
      </w:divBdr>
    </w:div>
    <w:div w:id="1376468750">
      <w:bodyDiv w:val="1"/>
      <w:marLeft w:val="0"/>
      <w:marRight w:val="0"/>
      <w:marTop w:val="0"/>
      <w:marBottom w:val="0"/>
      <w:divBdr>
        <w:top w:val="none" w:sz="0" w:space="0" w:color="auto"/>
        <w:left w:val="none" w:sz="0" w:space="0" w:color="auto"/>
        <w:bottom w:val="none" w:sz="0" w:space="0" w:color="auto"/>
        <w:right w:val="none" w:sz="0" w:space="0" w:color="auto"/>
      </w:divBdr>
    </w:div>
    <w:div w:id="1414473043">
      <w:bodyDiv w:val="1"/>
      <w:marLeft w:val="0"/>
      <w:marRight w:val="0"/>
      <w:marTop w:val="0"/>
      <w:marBottom w:val="0"/>
      <w:divBdr>
        <w:top w:val="none" w:sz="0" w:space="0" w:color="auto"/>
        <w:left w:val="none" w:sz="0" w:space="0" w:color="auto"/>
        <w:bottom w:val="none" w:sz="0" w:space="0" w:color="auto"/>
        <w:right w:val="none" w:sz="0" w:space="0" w:color="auto"/>
      </w:divBdr>
      <w:divsChild>
        <w:div w:id="1966889245">
          <w:marLeft w:val="446"/>
          <w:marRight w:val="0"/>
          <w:marTop w:val="0"/>
          <w:marBottom w:val="0"/>
          <w:divBdr>
            <w:top w:val="none" w:sz="0" w:space="0" w:color="auto"/>
            <w:left w:val="none" w:sz="0" w:space="0" w:color="auto"/>
            <w:bottom w:val="none" w:sz="0" w:space="0" w:color="auto"/>
            <w:right w:val="none" w:sz="0" w:space="0" w:color="auto"/>
          </w:divBdr>
        </w:div>
      </w:divsChild>
    </w:div>
    <w:div w:id="1484274650">
      <w:bodyDiv w:val="1"/>
      <w:marLeft w:val="0"/>
      <w:marRight w:val="0"/>
      <w:marTop w:val="0"/>
      <w:marBottom w:val="0"/>
      <w:divBdr>
        <w:top w:val="none" w:sz="0" w:space="0" w:color="auto"/>
        <w:left w:val="none" w:sz="0" w:space="0" w:color="auto"/>
        <w:bottom w:val="none" w:sz="0" w:space="0" w:color="auto"/>
        <w:right w:val="none" w:sz="0" w:space="0" w:color="auto"/>
      </w:divBdr>
    </w:div>
    <w:div w:id="1572078353">
      <w:bodyDiv w:val="1"/>
      <w:marLeft w:val="0"/>
      <w:marRight w:val="0"/>
      <w:marTop w:val="0"/>
      <w:marBottom w:val="0"/>
      <w:divBdr>
        <w:top w:val="none" w:sz="0" w:space="0" w:color="auto"/>
        <w:left w:val="none" w:sz="0" w:space="0" w:color="auto"/>
        <w:bottom w:val="none" w:sz="0" w:space="0" w:color="auto"/>
        <w:right w:val="none" w:sz="0" w:space="0" w:color="auto"/>
      </w:divBdr>
    </w:div>
    <w:div w:id="1573076547">
      <w:bodyDiv w:val="1"/>
      <w:marLeft w:val="0"/>
      <w:marRight w:val="0"/>
      <w:marTop w:val="0"/>
      <w:marBottom w:val="0"/>
      <w:divBdr>
        <w:top w:val="none" w:sz="0" w:space="0" w:color="auto"/>
        <w:left w:val="none" w:sz="0" w:space="0" w:color="auto"/>
        <w:bottom w:val="none" w:sz="0" w:space="0" w:color="auto"/>
        <w:right w:val="none" w:sz="0" w:space="0" w:color="auto"/>
      </w:divBdr>
    </w:div>
    <w:div w:id="1632052433">
      <w:bodyDiv w:val="1"/>
      <w:marLeft w:val="0"/>
      <w:marRight w:val="0"/>
      <w:marTop w:val="0"/>
      <w:marBottom w:val="0"/>
      <w:divBdr>
        <w:top w:val="none" w:sz="0" w:space="0" w:color="auto"/>
        <w:left w:val="none" w:sz="0" w:space="0" w:color="auto"/>
        <w:bottom w:val="none" w:sz="0" w:space="0" w:color="auto"/>
        <w:right w:val="none" w:sz="0" w:space="0" w:color="auto"/>
      </w:divBdr>
    </w:div>
    <w:div w:id="1805537065">
      <w:bodyDiv w:val="1"/>
      <w:marLeft w:val="0"/>
      <w:marRight w:val="0"/>
      <w:marTop w:val="0"/>
      <w:marBottom w:val="0"/>
      <w:divBdr>
        <w:top w:val="none" w:sz="0" w:space="0" w:color="auto"/>
        <w:left w:val="none" w:sz="0" w:space="0" w:color="auto"/>
        <w:bottom w:val="none" w:sz="0" w:space="0" w:color="auto"/>
        <w:right w:val="none" w:sz="0" w:space="0" w:color="auto"/>
      </w:divBdr>
    </w:div>
    <w:div w:id="1916698248">
      <w:bodyDiv w:val="1"/>
      <w:marLeft w:val="0"/>
      <w:marRight w:val="0"/>
      <w:marTop w:val="0"/>
      <w:marBottom w:val="0"/>
      <w:divBdr>
        <w:top w:val="none" w:sz="0" w:space="0" w:color="auto"/>
        <w:left w:val="none" w:sz="0" w:space="0" w:color="auto"/>
        <w:bottom w:val="none" w:sz="0" w:space="0" w:color="auto"/>
        <w:right w:val="none" w:sz="0" w:space="0" w:color="auto"/>
      </w:divBdr>
    </w:div>
    <w:div w:id="1958290559">
      <w:bodyDiv w:val="1"/>
      <w:marLeft w:val="0"/>
      <w:marRight w:val="0"/>
      <w:marTop w:val="0"/>
      <w:marBottom w:val="0"/>
      <w:divBdr>
        <w:top w:val="none" w:sz="0" w:space="0" w:color="auto"/>
        <w:left w:val="none" w:sz="0" w:space="0" w:color="auto"/>
        <w:bottom w:val="none" w:sz="0" w:space="0" w:color="auto"/>
        <w:right w:val="none" w:sz="0" w:space="0" w:color="auto"/>
      </w:divBdr>
    </w:div>
    <w:div w:id="2059626172">
      <w:bodyDiv w:val="1"/>
      <w:marLeft w:val="0"/>
      <w:marRight w:val="0"/>
      <w:marTop w:val="0"/>
      <w:marBottom w:val="0"/>
      <w:divBdr>
        <w:top w:val="none" w:sz="0" w:space="0" w:color="auto"/>
        <w:left w:val="none" w:sz="0" w:space="0" w:color="auto"/>
        <w:bottom w:val="none" w:sz="0" w:space="0" w:color="auto"/>
        <w:right w:val="none" w:sz="0" w:space="0" w:color="auto"/>
      </w:divBdr>
    </w:div>
    <w:div w:id="2065325529">
      <w:bodyDiv w:val="1"/>
      <w:marLeft w:val="0"/>
      <w:marRight w:val="0"/>
      <w:marTop w:val="0"/>
      <w:marBottom w:val="0"/>
      <w:divBdr>
        <w:top w:val="none" w:sz="0" w:space="0" w:color="auto"/>
        <w:left w:val="none" w:sz="0" w:space="0" w:color="auto"/>
        <w:bottom w:val="none" w:sz="0" w:space="0" w:color="auto"/>
        <w:right w:val="none" w:sz="0" w:space="0" w:color="auto"/>
      </w:divBdr>
    </w:div>
    <w:div w:id="20906923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www.wales.nhs.uk/sitesplus/documents/1064/24729_Health%20Standards%20Framework_2015_E1.pdf" TargetMode="External"/><Relationship Id="rId4" Type="http://schemas.openxmlformats.org/officeDocument/2006/relationships/settings" Target="settings.xml"/><Relationship Id="rId9" Type="http://schemas.openxmlformats.org/officeDocument/2006/relationships/hyperlink" Target="mailto:hugh.bennett2@wales.nhs.uk"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C5CCBBA-9FED-4897-B7CD-E6626643F2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DF63FEF6</Template>
  <TotalTime>7</TotalTime>
  <Pages>8</Pages>
  <Words>2251</Words>
  <Characters>12837</Characters>
  <Application>Microsoft Office Word</Application>
  <DocSecurity>0</DocSecurity>
  <Lines>106</Lines>
  <Paragraphs>30</Paragraphs>
  <ScaleCrop>false</ScaleCrop>
  <HeadingPairs>
    <vt:vector size="2" baseType="variant">
      <vt:variant>
        <vt:lpstr>Title</vt:lpstr>
      </vt:variant>
      <vt:variant>
        <vt:i4>1</vt:i4>
      </vt:variant>
    </vt:vector>
  </HeadingPairs>
  <TitlesOfParts>
    <vt:vector size="1" baseType="lpstr">
      <vt:lpstr/>
    </vt:vector>
  </TitlesOfParts>
  <Company> </Company>
  <LinksUpToDate>false</LinksUpToDate>
  <CharactersWithSpaces>15058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We142113</dc:creator>
  <cp:keywords/>
  <dc:description/>
  <cp:lastModifiedBy>Gwenan Roberts (CTUHB - NCCU Corporate Services)</cp:lastModifiedBy>
  <cp:revision>3</cp:revision>
  <cp:lastPrinted>2019-11-05T08:58:00Z</cp:lastPrinted>
  <dcterms:created xsi:type="dcterms:W3CDTF">2020-01-24T14:41:00Z</dcterms:created>
  <dcterms:modified xsi:type="dcterms:W3CDTF">2020-01-24T14:48:00Z</dcterms:modified>
</cp:coreProperties>
</file>