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7C50BE" w:rsidP="005069A7">
            <w:pPr>
              <w:jc w:val="center"/>
              <w:rPr>
                <w:rFonts w:ascii="Verdana" w:hAnsi="Verdana"/>
                <w:sz w:val="24"/>
                <w:szCs w:val="24"/>
              </w:rPr>
            </w:pPr>
            <w:r>
              <w:rPr>
                <w:rFonts w:ascii="Verdana" w:hAnsi="Verdana"/>
                <w:sz w:val="24"/>
                <w:szCs w:val="24"/>
              </w:rPr>
              <w:t>3.</w:t>
            </w:r>
            <w:r w:rsidR="005069A7">
              <w:rPr>
                <w:rFonts w:ascii="Verdana" w:hAnsi="Verdana"/>
                <w:sz w:val="24"/>
                <w:szCs w:val="24"/>
              </w:rPr>
              <w:t>1</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E37D85"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GOVERNANCE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E3AC4" w:rsidP="00EE3AC4">
            <w:pPr>
              <w:rPr>
                <w:rFonts w:ascii="Verdana" w:hAnsi="Verdana" w:cs="Arial"/>
                <w:color w:val="FF0000"/>
                <w:sz w:val="24"/>
                <w:szCs w:val="24"/>
              </w:rPr>
            </w:pPr>
            <w:r>
              <w:rPr>
                <w:rStyle w:val="Style8"/>
                <w:rFonts w:ascii="Verdana" w:hAnsi="Verdana"/>
                <w:color w:val="000000" w:themeColor="text1"/>
                <w:szCs w:val="24"/>
              </w:rPr>
              <w:t>14</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Pr>
                <w:rStyle w:val="Style8"/>
                <w:rFonts w:ascii="Verdana" w:hAnsi="Verdana"/>
                <w:color w:val="000000" w:themeColor="text1"/>
                <w:szCs w:val="24"/>
              </w:rPr>
              <w:t>7</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E37D85" w:rsidP="00577535">
            <w:pPr>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E37D85" w:rsidP="005E14D3">
            <w:pPr>
              <w:rPr>
                <w:rFonts w:ascii="Verdana" w:hAnsi="Verdana"/>
                <w:color w:val="FF0000"/>
                <w:sz w:val="24"/>
                <w:szCs w:val="24"/>
              </w:rPr>
            </w:pPr>
            <w:r>
              <w:rPr>
                <w:rFonts w:ascii="Verdana" w:hAnsi="Verdana"/>
                <w:sz w:val="24"/>
                <w:szCs w:val="24"/>
              </w:rPr>
              <w:t>Gwenan Roberts</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E37D8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1A1248"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E37D85" w:rsidRPr="00E867ED">
                  <w:rPr>
                    <w:rStyle w:val="PlaceholderText"/>
                  </w:rPr>
                  <w:t>Choose an item.</w:t>
                </w:r>
              </w:sdtContent>
            </w:sdt>
          </w:p>
        </w:tc>
        <w:tc>
          <w:tcPr>
            <w:tcW w:w="2017" w:type="dxa"/>
            <w:vAlign w:val="center"/>
          </w:tcPr>
          <w:p w:rsidR="00D227B8" w:rsidRPr="00E23B12" w:rsidRDefault="00D227B8" w:rsidP="0069470A">
            <w:pPr>
              <w:rPr>
                <w:rFonts w:ascii="Verdana" w:hAnsi="Verdana" w:cs="Arial"/>
                <w:sz w:val="24"/>
                <w:szCs w:val="24"/>
              </w:rPr>
            </w:pPr>
          </w:p>
        </w:tc>
        <w:tc>
          <w:tcPr>
            <w:tcW w:w="3792" w:type="dxa"/>
            <w:vAlign w:val="center"/>
          </w:tcPr>
          <w:p w:rsidR="00652117" w:rsidRPr="00E23B12" w:rsidRDefault="00652117" w:rsidP="00577535">
            <w:pPr>
              <w:rPr>
                <w:rFonts w:ascii="Verdana" w:hAnsi="Verdana" w:cs="Arial"/>
                <w:sz w:val="24"/>
                <w:szCs w:val="24"/>
              </w:rPr>
            </w:pP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577535">
            <w:pPr>
              <w:rPr>
                <w:rFonts w:ascii="Verdana" w:hAnsi="Verdana" w:cs="Arial"/>
                <w:sz w:val="24"/>
                <w:szCs w:val="24"/>
              </w:rPr>
            </w:pPr>
          </w:p>
        </w:tc>
        <w:tc>
          <w:tcPr>
            <w:tcW w:w="8788" w:type="dxa"/>
            <w:vAlign w:val="center"/>
          </w:tcPr>
          <w:p w:rsidR="00577535" w:rsidRPr="00E23B12" w:rsidRDefault="00577535" w:rsidP="00577535">
            <w:pPr>
              <w:rPr>
                <w:rFonts w:ascii="Verdana" w:hAnsi="Verdana" w:cs="Arial"/>
                <w:sz w:val="24"/>
                <w:szCs w:val="24"/>
              </w:rPr>
            </w:pPr>
          </w:p>
        </w:tc>
      </w:tr>
    </w:tbl>
    <w:p w:rsidR="00E55D6E" w:rsidRDefault="00E55D6E"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rsidR="006A7DA6" w:rsidRPr="0069470A" w:rsidRDefault="006A7DA6" w:rsidP="00344184">
      <w:pPr>
        <w:pStyle w:val="ListParagraph"/>
        <w:spacing w:after="0" w:line="240" w:lineRule="auto"/>
        <w:ind w:left="360"/>
        <w:rPr>
          <w:rFonts w:ascii="Verdana" w:hAnsi="Verdana" w:cs="Arial"/>
          <w:b/>
          <w:sz w:val="24"/>
          <w:szCs w:val="24"/>
        </w:rPr>
      </w:pPr>
    </w:p>
    <w:p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 governance for Committee Members.</w:t>
      </w:r>
    </w:p>
    <w:p w:rsidR="00E37D85" w:rsidRPr="00E37D85" w:rsidRDefault="00E37D85" w:rsidP="00E37D85">
      <w:pPr>
        <w:pStyle w:val="ListParagraph"/>
        <w:spacing w:after="0" w:line="240" w:lineRule="auto"/>
        <w:jc w:val="both"/>
        <w:rPr>
          <w:rFonts w:ascii="Verdana" w:hAnsi="Verdana" w:cs="Arial"/>
          <w:sz w:val="24"/>
          <w:szCs w:val="24"/>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Default="008B23BA" w:rsidP="008B23BA">
      <w:pPr>
        <w:pStyle w:val="ListParagraph"/>
        <w:spacing w:after="0" w:line="240" w:lineRule="auto"/>
        <w:ind w:left="709"/>
        <w:jc w:val="both"/>
        <w:rPr>
          <w:rFonts w:ascii="Verdana" w:hAnsi="Verdana" w:cs="Arial"/>
          <w:b/>
          <w:sz w:val="24"/>
          <w:szCs w:val="24"/>
        </w:rPr>
      </w:pPr>
    </w:p>
    <w:p w:rsidR="00EE3AC4" w:rsidRDefault="00EE3AC4" w:rsidP="008B23BA">
      <w:pPr>
        <w:pStyle w:val="ListParagraph"/>
        <w:spacing w:after="0" w:line="240" w:lineRule="auto"/>
        <w:ind w:left="709"/>
        <w:jc w:val="both"/>
        <w:rPr>
          <w:rFonts w:ascii="Verdana" w:hAnsi="Verdana" w:cs="Arial"/>
          <w:b/>
          <w:sz w:val="24"/>
          <w:szCs w:val="24"/>
        </w:rPr>
      </w:pPr>
      <w:r>
        <w:rPr>
          <w:rFonts w:ascii="Verdana" w:hAnsi="Verdana" w:cs="Arial"/>
          <w:b/>
          <w:sz w:val="24"/>
          <w:szCs w:val="24"/>
        </w:rPr>
        <w:t>EASC Annual Report 2019-2020</w:t>
      </w:r>
    </w:p>
    <w:p w:rsidR="00EE3AC4" w:rsidRDefault="00EE3AC4" w:rsidP="00EE3AC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Annual Report for 2019-2020 at </w:t>
      </w:r>
      <w:r w:rsidRPr="00EE3AC4">
        <w:rPr>
          <w:rFonts w:ascii="Verdana" w:hAnsi="Verdana" w:cs="Arial"/>
          <w:b/>
          <w:sz w:val="24"/>
          <w:szCs w:val="24"/>
        </w:rPr>
        <w:t>Appendix 1</w:t>
      </w:r>
      <w:r>
        <w:rPr>
          <w:rFonts w:ascii="Verdana" w:hAnsi="Verdana" w:cs="Arial"/>
          <w:sz w:val="24"/>
          <w:szCs w:val="24"/>
        </w:rPr>
        <w:t xml:space="preserve"> is the first time for the Committee to receive an Annual Report alongside the Annual Governance Statement at </w:t>
      </w:r>
      <w:r w:rsidRPr="00EE3AC4">
        <w:rPr>
          <w:rFonts w:ascii="Verdana" w:hAnsi="Verdana" w:cs="Arial"/>
          <w:b/>
          <w:sz w:val="24"/>
          <w:szCs w:val="24"/>
        </w:rPr>
        <w:t>Appendix 2</w:t>
      </w:r>
      <w:r>
        <w:rPr>
          <w:rFonts w:ascii="Verdana" w:hAnsi="Verdana" w:cs="Arial"/>
          <w:sz w:val="24"/>
          <w:szCs w:val="24"/>
        </w:rPr>
        <w:t>.</w:t>
      </w:r>
    </w:p>
    <w:p w:rsidR="00EE3AC4" w:rsidRDefault="00EE3AC4" w:rsidP="00EE3AC4">
      <w:pPr>
        <w:pStyle w:val="ListParagraph"/>
        <w:spacing w:after="0" w:line="240" w:lineRule="auto"/>
        <w:jc w:val="both"/>
        <w:rPr>
          <w:rFonts w:ascii="Verdana" w:hAnsi="Verdana" w:cs="Arial"/>
          <w:sz w:val="24"/>
          <w:szCs w:val="24"/>
        </w:rPr>
      </w:pPr>
    </w:p>
    <w:p w:rsidR="00A16D15" w:rsidRDefault="00EE3AC4" w:rsidP="00EE3AC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aim of the Annual Report is to provide an overview of the business undertaken by the Committee as well as an opportunity to assess the effectiveness of the Committee in achieving its strategic aim.</w:t>
      </w:r>
      <w:r w:rsidR="00400E1E">
        <w:rPr>
          <w:rFonts w:ascii="Verdana" w:hAnsi="Verdana" w:cs="Arial"/>
          <w:sz w:val="24"/>
          <w:szCs w:val="24"/>
        </w:rPr>
        <w:t xml:space="preserve"> </w:t>
      </w:r>
    </w:p>
    <w:p w:rsidR="00A16D15" w:rsidRPr="00A16D15" w:rsidRDefault="00A16D15" w:rsidP="00A16D15">
      <w:pPr>
        <w:pStyle w:val="ListParagraph"/>
        <w:rPr>
          <w:rFonts w:ascii="Verdana" w:hAnsi="Verdana" w:cs="Arial"/>
          <w:sz w:val="24"/>
          <w:szCs w:val="24"/>
        </w:rPr>
      </w:pPr>
    </w:p>
    <w:p w:rsidR="00EE3AC4" w:rsidRPr="00EE3AC4" w:rsidRDefault="00400E1E" w:rsidP="00EE3AC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Members </w:t>
      </w:r>
      <w:r w:rsidR="00A16D15">
        <w:rPr>
          <w:rFonts w:ascii="Verdana" w:hAnsi="Verdana" w:cs="Arial"/>
          <w:sz w:val="24"/>
          <w:szCs w:val="24"/>
        </w:rPr>
        <w:t>are requested to complete</w:t>
      </w:r>
      <w:r>
        <w:rPr>
          <w:rFonts w:ascii="Verdana" w:hAnsi="Verdana" w:cs="Arial"/>
          <w:sz w:val="24"/>
          <w:szCs w:val="24"/>
        </w:rPr>
        <w:t xml:space="preserve"> the Effectiveness Survey within the Annual Report for further discussion at the meeting.</w:t>
      </w:r>
    </w:p>
    <w:p w:rsidR="00EE3AC4" w:rsidRPr="00EE3AC4" w:rsidRDefault="00EE3AC4" w:rsidP="00EE3AC4">
      <w:pPr>
        <w:pStyle w:val="ListParagraph"/>
        <w:spacing w:after="0" w:line="240" w:lineRule="auto"/>
        <w:jc w:val="both"/>
        <w:rPr>
          <w:rFonts w:ascii="Verdana" w:hAnsi="Verdana" w:cs="Arial"/>
          <w:sz w:val="24"/>
          <w:szCs w:val="24"/>
        </w:rPr>
      </w:pPr>
    </w:p>
    <w:p w:rsidR="00EE3AC4" w:rsidRPr="00EE3AC4" w:rsidRDefault="00EE3AC4" w:rsidP="00EE3AC4">
      <w:pPr>
        <w:pStyle w:val="ListParagraph"/>
        <w:spacing w:after="0" w:line="240" w:lineRule="auto"/>
        <w:jc w:val="both"/>
        <w:rPr>
          <w:rFonts w:ascii="Verdana" w:hAnsi="Verdana" w:cs="Arial"/>
          <w:sz w:val="24"/>
          <w:szCs w:val="24"/>
        </w:rPr>
      </w:pPr>
      <w:r w:rsidRPr="00EE3AC4">
        <w:rPr>
          <w:rFonts w:ascii="Verdana" w:hAnsi="Verdana" w:cs="Arial"/>
          <w:b/>
          <w:sz w:val="24"/>
          <w:szCs w:val="24"/>
        </w:rPr>
        <w:t xml:space="preserve">Risk Register </w:t>
      </w:r>
    </w:p>
    <w:p w:rsidR="00EE3AC4" w:rsidRDefault="00EE3AC4" w:rsidP="00EE3AC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recall discussions on the development of the EASC Risk Register throughout 2019-2020.</w:t>
      </w:r>
    </w:p>
    <w:p w:rsidR="00E35663" w:rsidRPr="00E35663" w:rsidRDefault="00E35663" w:rsidP="00E35663">
      <w:pPr>
        <w:pStyle w:val="ListParagraph"/>
        <w:spacing w:after="0" w:line="240" w:lineRule="auto"/>
        <w:jc w:val="both"/>
        <w:rPr>
          <w:rFonts w:ascii="Verdana" w:hAnsi="Verdana" w:cs="Arial"/>
          <w:sz w:val="24"/>
          <w:szCs w:val="24"/>
        </w:rPr>
      </w:pPr>
    </w:p>
    <w:p w:rsidR="00EE3AC4" w:rsidRDefault="00EE3AC4" w:rsidP="00F064B1">
      <w:pPr>
        <w:pStyle w:val="ListParagraph"/>
        <w:numPr>
          <w:ilvl w:val="1"/>
          <w:numId w:val="1"/>
        </w:numPr>
        <w:spacing w:after="0" w:line="240" w:lineRule="auto"/>
        <w:jc w:val="both"/>
        <w:rPr>
          <w:rFonts w:ascii="Verdana" w:hAnsi="Verdana" w:cs="Arial"/>
          <w:sz w:val="24"/>
          <w:szCs w:val="24"/>
        </w:rPr>
      </w:pPr>
      <w:r w:rsidRPr="00EE3AC4">
        <w:rPr>
          <w:rFonts w:ascii="Verdana" w:hAnsi="Verdana" w:cs="Arial"/>
          <w:sz w:val="24"/>
          <w:szCs w:val="24"/>
        </w:rPr>
        <w:t>At the January</w:t>
      </w:r>
      <w:r w:rsidR="00EA5DB5">
        <w:rPr>
          <w:rFonts w:ascii="Verdana" w:hAnsi="Verdana" w:cs="Arial"/>
          <w:sz w:val="24"/>
          <w:szCs w:val="24"/>
        </w:rPr>
        <w:t xml:space="preserve"> 2020</w:t>
      </w:r>
      <w:r w:rsidRPr="00EE3AC4">
        <w:rPr>
          <w:rFonts w:ascii="Verdana" w:hAnsi="Verdana" w:cs="Arial"/>
          <w:sz w:val="24"/>
          <w:szCs w:val="24"/>
        </w:rPr>
        <w:t xml:space="preserve"> meeting of </w:t>
      </w:r>
      <w:r w:rsidR="00EA5DB5">
        <w:rPr>
          <w:rFonts w:ascii="Verdana" w:hAnsi="Verdana" w:cs="Arial"/>
          <w:sz w:val="24"/>
          <w:szCs w:val="24"/>
        </w:rPr>
        <w:t>EASC, Members will recall that</w:t>
      </w:r>
      <w:r w:rsidRPr="00EE3AC4">
        <w:rPr>
          <w:rFonts w:ascii="Verdana" w:hAnsi="Verdana" w:cs="Arial"/>
          <w:sz w:val="24"/>
          <w:szCs w:val="24"/>
        </w:rPr>
        <w:t xml:space="preserve"> Cwm Taf Morgannwg as host body for the EAS Committee </w:t>
      </w:r>
      <w:r w:rsidR="00EA5DB5">
        <w:rPr>
          <w:rFonts w:ascii="Verdana" w:hAnsi="Verdana" w:cs="Arial"/>
          <w:sz w:val="24"/>
          <w:szCs w:val="24"/>
        </w:rPr>
        <w:t>wa</w:t>
      </w:r>
      <w:r w:rsidRPr="00EE3AC4">
        <w:rPr>
          <w:rFonts w:ascii="Verdana" w:hAnsi="Verdana" w:cs="Arial"/>
          <w:sz w:val="24"/>
          <w:szCs w:val="24"/>
        </w:rPr>
        <w:t xml:space="preserve">s reviewing its approach to the development of </w:t>
      </w:r>
      <w:r w:rsidR="00EA5DB5">
        <w:rPr>
          <w:rFonts w:ascii="Verdana" w:hAnsi="Verdana" w:cs="Arial"/>
          <w:sz w:val="24"/>
          <w:szCs w:val="24"/>
        </w:rPr>
        <w:t>a</w:t>
      </w:r>
      <w:r w:rsidRPr="00EE3AC4">
        <w:rPr>
          <w:rFonts w:ascii="Verdana" w:hAnsi="Verdana" w:cs="Arial"/>
          <w:sz w:val="24"/>
          <w:szCs w:val="24"/>
        </w:rPr>
        <w:t xml:space="preserve"> risk register and therefore it </w:t>
      </w:r>
      <w:r w:rsidR="00EA5DB5">
        <w:rPr>
          <w:rFonts w:ascii="Verdana" w:hAnsi="Verdana" w:cs="Arial"/>
          <w:sz w:val="24"/>
          <w:szCs w:val="24"/>
        </w:rPr>
        <w:t>wa</w:t>
      </w:r>
      <w:r w:rsidRPr="00EE3AC4">
        <w:rPr>
          <w:rFonts w:ascii="Verdana" w:hAnsi="Verdana" w:cs="Arial"/>
          <w:sz w:val="24"/>
          <w:szCs w:val="24"/>
        </w:rPr>
        <w:t xml:space="preserve">s suggested that the Committee adopt the </w:t>
      </w:r>
      <w:r w:rsidR="00EA5DB5">
        <w:rPr>
          <w:rFonts w:ascii="Verdana" w:hAnsi="Verdana" w:cs="Arial"/>
          <w:sz w:val="24"/>
          <w:szCs w:val="24"/>
        </w:rPr>
        <w:t xml:space="preserve">same </w:t>
      </w:r>
      <w:r w:rsidRPr="00EE3AC4">
        <w:rPr>
          <w:rFonts w:ascii="Verdana" w:hAnsi="Verdana" w:cs="Arial"/>
          <w:sz w:val="24"/>
          <w:szCs w:val="24"/>
        </w:rPr>
        <w:t>approach and report at the next meeting.</w:t>
      </w:r>
      <w:r w:rsidR="00EA5DB5">
        <w:rPr>
          <w:rFonts w:ascii="Verdana" w:hAnsi="Verdana" w:cs="Arial"/>
          <w:sz w:val="24"/>
          <w:szCs w:val="24"/>
        </w:rPr>
        <w:t xml:space="preserve"> However, the progress has been delayed due to the need to respond to the Covid-19 pandemic.</w:t>
      </w:r>
    </w:p>
    <w:p w:rsidR="00EE3AC4" w:rsidRDefault="00EE3AC4" w:rsidP="00EE3AC4">
      <w:pPr>
        <w:pStyle w:val="ListParagraph"/>
        <w:spacing w:after="0" w:line="240" w:lineRule="auto"/>
        <w:jc w:val="both"/>
        <w:rPr>
          <w:rFonts w:ascii="Verdana" w:hAnsi="Verdana" w:cs="Arial"/>
          <w:sz w:val="24"/>
          <w:szCs w:val="24"/>
        </w:rPr>
      </w:pPr>
    </w:p>
    <w:p w:rsidR="00EA5DB5" w:rsidRPr="00EA5DB5" w:rsidRDefault="00EE3AC4" w:rsidP="00EC6275">
      <w:pPr>
        <w:pStyle w:val="ListParagraph"/>
        <w:numPr>
          <w:ilvl w:val="1"/>
          <w:numId w:val="1"/>
        </w:numPr>
        <w:spacing w:after="0" w:line="240" w:lineRule="auto"/>
        <w:jc w:val="both"/>
        <w:rPr>
          <w:rFonts w:ascii="Verdana" w:hAnsi="Verdana" w:cs="Arial"/>
          <w:sz w:val="28"/>
          <w:szCs w:val="24"/>
        </w:rPr>
      </w:pPr>
      <w:r w:rsidRPr="00E35663">
        <w:rPr>
          <w:rFonts w:ascii="Verdana" w:hAnsi="Verdana" w:cs="Tahoma"/>
          <w:sz w:val="24"/>
        </w:rPr>
        <w:t xml:space="preserve">The development and implementation of an integrated risk management framework for EASC underpins delivery of the Model Standing Orders. The framework would manage both risks and </w:t>
      </w:r>
      <w:proofErr w:type="spellStart"/>
      <w:r w:rsidRPr="00E35663">
        <w:rPr>
          <w:rFonts w:ascii="Verdana" w:hAnsi="Verdana" w:cs="Tahoma"/>
          <w:sz w:val="24"/>
        </w:rPr>
        <w:t>maximise</w:t>
      </w:r>
      <w:proofErr w:type="spellEnd"/>
      <w:r w:rsidRPr="00E35663">
        <w:rPr>
          <w:rFonts w:ascii="Verdana" w:hAnsi="Verdana" w:cs="Tahoma"/>
          <w:sz w:val="24"/>
        </w:rPr>
        <w:t xml:space="preserve"> the opportunities that may affect EASC’s strategic objectives and the work it is accountable to deliver. </w:t>
      </w:r>
      <w:r w:rsidRPr="00E35663">
        <w:rPr>
          <w:rFonts w:ascii="Verdana" w:hAnsi="Verdana"/>
          <w:sz w:val="24"/>
        </w:rPr>
        <w:t>It seeks to strengthen the control environment and sustain good corporate governance, implement effective internal controls and monitoring activities which support the running of EASC and the delivery of strategic commissioning plans.</w:t>
      </w:r>
    </w:p>
    <w:p w:rsidR="00EA5DB5" w:rsidRPr="00EA5DB5" w:rsidRDefault="00EA5DB5" w:rsidP="00EA5DB5">
      <w:pPr>
        <w:pStyle w:val="ListParagraph"/>
        <w:rPr>
          <w:rFonts w:ascii="Verdana" w:hAnsi="Verdana"/>
          <w:sz w:val="24"/>
        </w:rPr>
      </w:pPr>
    </w:p>
    <w:p w:rsidR="00EA5DB5" w:rsidRPr="00EA5DB5" w:rsidRDefault="00EA5DB5" w:rsidP="00EC6275">
      <w:pPr>
        <w:pStyle w:val="ListParagraph"/>
        <w:numPr>
          <w:ilvl w:val="1"/>
          <w:numId w:val="1"/>
        </w:numPr>
        <w:spacing w:after="0" w:line="240" w:lineRule="auto"/>
        <w:jc w:val="both"/>
        <w:rPr>
          <w:rFonts w:ascii="Verdana" w:hAnsi="Verdana" w:cs="Arial"/>
          <w:sz w:val="28"/>
          <w:szCs w:val="24"/>
        </w:rPr>
      </w:pPr>
      <w:r>
        <w:rPr>
          <w:rFonts w:ascii="Verdana" w:hAnsi="Verdana"/>
          <w:sz w:val="24"/>
        </w:rPr>
        <w:t>The EASC Management Group received a report on the development of a risk register at the meeting in June</w:t>
      </w:r>
      <w:r w:rsidR="00EE3AC4" w:rsidRPr="00E35663">
        <w:rPr>
          <w:rFonts w:ascii="Verdana" w:hAnsi="Verdana"/>
          <w:sz w:val="24"/>
        </w:rPr>
        <w:t>.</w:t>
      </w:r>
      <w:r>
        <w:rPr>
          <w:rFonts w:ascii="Verdana" w:hAnsi="Verdana"/>
          <w:sz w:val="24"/>
        </w:rPr>
        <w:t xml:space="preserve"> As time was limited for an in-depth discussion it was agreed that further time was required before a report would be ready for the EAS Committee. </w:t>
      </w:r>
      <w:r w:rsidR="00EE3AC4" w:rsidRPr="00E35663">
        <w:rPr>
          <w:rFonts w:ascii="Verdana" w:hAnsi="Verdana"/>
          <w:sz w:val="24"/>
        </w:rPr>
        <w:t xml:space="preserve"> </w:t>
      </w:r>
    </w:p>
    <w:p w:rsidR="00EA5DB5" w:rsidRPr="00EA5DB5" w:rsidRDefault="00EA5DB5" w:rsidP="00EA5DB5">
      <w:pPr>
        <w:pStyle w:val="ListParagraph"/>
        <w:rPr>
          <w:rFonts w:ascii="Verdana" w:hAnsi="Verdana"/>
          <w:sz w:val="24"/>
        </w:rPr>
      </w:pPr>
    </w:p>
    <w:p w:rsidR="00EC6275" w:rsidRPr="00EC6275" w:rsidRDefault="00EA5DB5" w:rsidP="00EA5DB5">
      <w:pPr>
        <w:pStyle w:val="ListParagraph"/>
        <w:spacing w:after="0" w:line="240" w:lineRule="auto"/>
        <w:jc w:val="both"/>
        <w:rPr>
          <w:rFonts w:ascii="Verdana" w:hAnsi="Verdana" w:cs="Arial"/>
          <w:sz w:val="28"/>
          <w:szCs w:val="24"/>
        </w:rPr>
      </w:pPr>
      <w:r>
        <w:rPr>
          <w:rFonts w:ascii="Verdana" w:hAnsi="Verdana"/>
          <w:sz w:val="24"/>
        </w:rPr>
        <w:t>It was anticipated that this would be developed in time for the next meeting and would concentrate on the risks relating to commissioning for EASC.</w:t>
      </w:r>
    </w:p>
    <w:p w:rsidR="00EA5DB5" w:rsidRPr="00EC6275" w:rsidRDefault="00EA5DB5" w:rsidP="00EC6275">
      <w:pPr>
        <w:pStyle w:val="ListParagraph"/>
        <w:rPr>
          <w:rFonts w:ascii="Verdana" w:hAnsi="Verdana" w:cs="Arial"/>
          <w:sz w:val="24"/>
        </w:rPr>
      </w:pPr>
    </w:p>
    <w:p w:rsidR="00EC6275" w:rsidRPr="00EA5DB5" w:rsidRDefault="00A16D15" w:rsidP="00EC6275">
      <w:pPr>
        <w:pStyle w:val="ListParagraph"/>
        <w:numPr>
          <w:ilvl w:val="1"/>
          <w:numId w:val="1"/>
        </w:numPr>
        <w:spacing w:after="0" w:line="240" w:lineRule="auto"/>
        <w:jc w:val="both"/>
        <w:rPr>
          <w:rFonts w:ascii="Verdana" w:hAnsi="Verdana" w:cs="Arial"/>
          <w:sz w:val="28"/>
          <w:szCs w:val="24"/>
        </w:rPr>
      </w:pPr>
      <w:r>
        <w:rPr>
          <w:rFonts w:ascii="Verdana" w:hAnsi="Verdana" w:cs="Arial"/>
          <w:sz w:val="24"/>
        </w:rPr>
        <w:t>Members are reminded that a</w:t>
      </w:r>
      <w:r w:rsidR="00EC6275" w:rsidRPr="00EC6275">
        <w:rPr>
          <w:rFonts w:ascii="Verdana" w:hAnsi="Verdana" w:cs="Arial"/>
          <w:sz w:val="24"/>
        </w:rPr>
        <w:t xml:space="preserve">s at 28 January 2020, there were 3 risks </w:t>
      </w:r>
      <w:proofErr w:type="spellStart"/>
      <w:r w:rsidR="00EC6275" w:rsidRPr="00EC6275">
        <w:rPr>
          <w:rFonts w:ascii="Verdana" w:hAnsi="Verdana" w:cs="Arial"/>
          <w:sz w:val="24"/>
        </w:rPr>
        <w:t>categorised</w:t>
      </w:r>
      <w:proofErr w:type="spellEnd"/>
      <w:r w:rsidR="00EC6275" w:rsidRPr="00EC6275">
        <w:rPr>
          <w:rFonts w:ascii="Verdana" w:hAnsi="Verdana" w:cs="Arial"/>
          <w:sz w:val="24"/>
        </w:rPr>
        <w:t xml:space="preserve"> as Extreme / High these being:</w:t>
      </w:r>
    </w:p>
    <w:p w:rsidR="00EA5DB5" w:rsidRPr="00EA5DB5" w:rsidRDefault="00EA5DB5" w:rsidP="00EA5DB5">
      <w:pPr>
        <w:spacing w:after="0" w:line="240" w:lineRule="auto"/>
        <w:jc w:val="both"/>
        <w:rPr>
          <w:rFonts w:ascii="Verdana" w:hAnsi="Verdana" w:cs="Arial"/>
          <w:sz w:val="28"/>
          <w:szCs w:val="24"/>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3118"/>
        <w:gridCol w:w="993"/>
        <w:gridCol w:w="1134"/>
        <w:gridCol w:w="2976"/>
      </w:tblGrid>
      <w:tr w:rsidR="00EC6275" w:rsidRPr="00C51760" w:rsidTr="00F76132">
        <w:trPr>
          <w:trHeight w:val="345"/>
          <w:jc w:val="center"/>
        </w:trPr>
        <w:tc>
          <w:tcPr>
            <w:tcW w:w="1413" w:type="dxa"/>
            <w:shd w:val="clear" w:color="auto" w:fill="C6D9F1" w:themeFill="text2" w:themeFillTint="33"/>
          </w:tcPr>
          <w:p w:rsidR="00EC6275" w:rsidRPr="001017A1" w:rsidRDefault="00EC6275" w:rsidP="00EC6275">
            <w:pPr>
              <w:pStyle w:val="Default"/>
              <w:rPr>
                <w:rFonts w:ascii="Verdana" w:hAnsi="Verdana"/>
                <w:b/>
                <w:sz w:val="20"/>
                <w:szCs w:val="20"/>
              </w:rPr>
            </w:pPr>
            <w:r w:rsidRPr="001017A1">
              <w:rPr>
                <w:rFonts w:ascii="Verdana" w:hAnsi="Verdana"/>
                <w:b/>
                <w:sz w:val="20"/>
                <w:szCs w:val="20"/>
              </w:rPr>
              <w:t>Risk Reference</w:t>
            </w:r>
          </w:p>
        </w:tc>
        <w:tc>
          <w:tcPr>
            <w:tcW w:w="3118" w:type="dxa"/>
            <w:shd w:val="clear" w:color="auto" w:fill="C6D9F1" w:themeFill="text2" w:themeFillTint="33"/>
          </w:tcPr>
          <w:p w:rsidR="00EC6275" w:rsidRPr="001017A1" w:rsidRDefault="00EC6275" w:rsidP="00EC6275">
            <w:pPr>
              <w:pStyle w:val="Default"/>
              <w:rPr>
                <w:rFonts w:ascii="Verdana" w:hAnsi="Verdana"/>
                <w:b/>
                <w:sz w:val="20"/>
                <w:szCs w:val="20"/>
              </w:rPr>
            </w:pPr>
            <w:r w:rsidRPr="001017A1">
              <w:rPr>
                <w:rFonts w:ascii="Verdana" w:hAnsi="Verdana"/>
                <w:b/>
                <w:sz w:val="20"/>
                <w:szCs w:val="20"/>
              </w:rPr>
              <w:t>Description of risk identified</w:t>
            </w:r>
          </w:p>
        </w:tc>
        <w:tc>
          <w:tcPr>
            <w:tcW w:w="993" w:type="dxa"/>
            <w:shd w:val="clear" w:color="auto" w:fill="C6D9F1" w:themeFill="text2" w:themeFillTint="33"/>
          </w:tcPr>
          <w:p w:rsidR="00EC6275" w:rsidRPr="001017A1" w:rsidRDefault="00EC6275" w:rsidP="00EC6275">
            <w:pPr>
              <w:pStyle w:val="Default"/>
              <w:rPr>
                <w:rFonts w:ascii="Verdana" w:hAnsi="Verdana"/>
                <w:b/>
                <w:sz w:val="20"/>
                <w:szCs w:val="20"/>
              </w:rPr>
            </w:pPr>
            <w:r w:rsidRPr="001017A1">
              <w:rPr>
                <w:rFonts w:ascii="Verdana" w:hAnsi="Verdana"/>
                <w:b/>
                <w:sz w:val="20"/>
                <w:szCs w:val="20"/>
              </w:rPr>
              <w:t>Initial Score</w:t>
            </w:r>
          </w:p>
        </w:tc>
        <w:tc>
          <w:tcPr>
            <w:tcW w:w="1134" w:type="dxa"/>
            <w:shd w:val="clear" w:color="auto" w:fill="C6D9F1" w:themeFill="text2" w:themeFillTint="33"/>
          </w:tcPr>
          <w:p w:rsidR="00EC6275" w:rsidRPr="00C51760" w:rsidRDefault="00EC6275" w:rsidP="00EC6275">
            <w:pPr>
              <w:pStyle w:val="Default"/>
              <w:rPr>
                <w:rFonts w:ascii="Verdana" w:hAnsi="Verdana"/>
                <w:b/>
                <w:sz w:val="20"/>
                <w:szCs w:val="20"/>
              </w:rPr>
            </w:pPr>
            <w:r w:rsidRPr="00C51760">
              <w:rPr>
                <w:rFonts w:ascii="Verdana" w:hAnsi="Verdana"/>
                <w:b/>
                <w:sz w:val="20"/>
                <w:szCs w:val="20"/>
              </w:rPr>
              <w:t>Current Score</w:t>
            </w:r>
          </w:p>
        </w:tc>
        <w:tc>
          <w:tcPr>
            <w:tcW w:w="2976" w:type="dxa"/>
            <w:shd w:val="clear" w:color="auto" w:fill="C6D9F1" w:themeFill="text2" w:themeFillTint="33"/>
          </w:tcPr>
          <w:p w:rsidR="00EC6275" w:rsidRPr="00C51760" w:rsidRDefault="00EC6275" w:rsidP="00EC6275">
            <w:pPr>
              <w:pStyle w:val="Default"/>
              <w:rPr>
                <w:rFonts w:ascii="Verdana" w:hAnsi="Verdana"/>
                <w:b/>
                <w:sz w:val="20"/>
                <w:szCs w:val="20"/>
              </w:rPr>
            </w:pPr>
            <w:r>
              <w:rPr>
                <w:rFonts w:ascii="Verdana" w:hAnsi="Verdana"/>
                <w:b/>
                <w:sz w:val="20"/>
                <w:szCs w:val="20"/>
              </w:rPr>
              <w:t>Mitigating Actions</w:t>
            </w:r>
          </w:p>
        </w:tc>
      </w:tr>
      <w:tr w:rsidR="00EC6275" w:rsidRPr="00A74A57" w:rsidTr="00EC6275">
        <w:trPr>
          <w:trHeight w:val="1403"/>
          <w:jc w:val="center"/>
        </w:trPr>
        <w:tc>
          <w:tcPr>
            <w:tcW w:w="1413" w:type="dxa"/>
            <w:vAlign w:val="center"/>
          </w:tcPr>
          <w:p w:rsidR="00EC6275" w:rsidRPr="00EC6275" w:rsidRDefault="00EC6275" w:rsidP="00EC6275">
            <w:pPr>
              <w:spacing w:after="0" w:line="240" w:lineRule="auto"/>
              <w:jc w:val="center"/>
              <w:rPr>
                <w:rFonts w:ascii="Verdana" w:hAnsi="Verdana"/>
                <w:sz w:val="20"/>
                <w:szCs w:val="20"/>
              </w:rPr>
            </w:pPr>
            <w:r w:rsidRPr="00EC6275">
              <w:rPr>
                <w:rFonts w:ascii="Verdana" w:hAnsi="Verdana"/>
                <w:sz w:val="20"/>
                <w:szCs w:val="20"/>
              </w:rPr>
              <w:t>EASC 07</w:t>
            </w:r>
          </w:p>
        </w:tc>
        <w:tc>
          <w:tcPr>
            <w:tcW w:w="3118" w:type="dxa"/>
            <w:vAlign w:val="center"/>
          </w:tcPr>
          <w:p w:rsidR="00EC6275" w:rsidRPr="00EC6275" w:rsidRDefault="00EC6275" w:rsidP="00EC6275">
            <w:pPr>
              <w:spacing w:after="0" w:line="240" w:lineRule="auto"/>
              <w:rPr>
                <w:rFonts w:ascii="Verdana" w:hAnsi="Verdana" w:cs="Arial"/>
                <w:sz w:val="20"/>
                <w:szCs w:val="20"/>
              </w:rPr>
            </w:pPr>
            <w:r w:rsidRPr="00EC6275">
              <w:rPr>
                <w:rFonts w:ascii="Verdana" w:hAnsi="Verdana"/>
                <w:sz w:val="20"/>
                <w:szCs w:val="20"/>
              </w:rPr>
              <w:t xml:space="preserve">Failure to progress WAST staffing roster changes across Wales in alignment with demand patterns identified within the ORH report.   </w:t>
            </w:r>
          </w:p>
        </w:tc>
        <w:tc>
          <w:tcPr>
            <w:tcW w:w="993" w:type="dxa"/>
            <w:shd w:val="clear" w:color="auto" w:fill="FF0000"/>
            <w:vAlign w:val="center"/>
          </w:tcPr>
          <w:p w:rsidR="00EC6275" w:rsidRPr="00EC6275" w:rsidRDefault="00EC6275" w:rsidP="00EC6275">
            <w:pPr>
              <w:pStyle w:val="Default"/>
              <w:jc w:val="center"/>
              <w:rPr>
                <w:rFonts w:ascii="Verdana" w:hAnsi="Verdana"/>
                <w:color w:val="FFFFFF"/>
                <w:sz w:val="20"/>
                <w:szCs w:val="20"/>
              </w:rPr>
            </w:pPr>
            <w:r w:rsidRPr="00EC6275">
              <w:rPr>
                <w:rFonts w:ascii="Verdana" w:hAnsi="Verdana"/>
                <w:color w:val="FFFFFF"/>
                <w:sz w:val="20"/>
                <w:szCs w:val="20"/>
              </w:rPr>
              <w:t>15</w:t>
            </w:r>
          </w:p>
        </w:tc>
        <w:tc>
          <w:tcPr>
            <w:tcW w:w="1134" w:type="dxa"/>
            <w:tcBorders>
              <w:bottom w:val="single" w:sz="4" w:space="0" w:color="auto"/>
            </w:tcBorders>
            <w:shd w:val="clear" w:color="auto" w:fill="FF0000"/>
            <w:vAlign w:val="center"/>
          </w:tcPr>
          <w:p w:rsidR="00EC6275" w:rsidRPr="00EC6275" w:rsidRDefault="00EC6275" w:rsidP="00EC6275">
            <w:pPr>
              <w:pStyle w:val="Default"/>
              <w:jc w:val="center"/>
              <w:rPr>
                <w:rFonts w:ascii="Verdana" w:hAnsi="Verdana"/>
                <w:color w:val="FFFFFF"/>
                <w:sz w:val="20"/>
                <w:szCs w:val="20"/>
              </w:rPr>
            </w:pPr>
            <w:r w:rsidRPr="00EC6275">
              <w:rPr>
                <w:rFonts w:ascii="Verdana" w:hAnsi="Verdana"/>
                <w:color w:val="FFFFFF"/>
                <w:sz w:val="20"/>
                <w:szCs w:val="20"/>
              </w:rPr>
              <w:t>15</w:t>
            </w:r>
          </w:p>
        </w:tc>
        <w:tc>
          <w:tcPr>
            <w:tcW w:w="2976" w:type="dxa"/>
            <w:tcBorders>
              <w:bottom w:val="single" w:sz="4" w:space="0" w:color="auto"/>
            </w:tcBorders>
            <w:shd w:val="clear" w:color="auto" w:fill="FFFFFF" w:themeFill="background1"/>
          </w:tcPr>
          <w:p w:rsidR="00EC6275" w:rsidRPr="00EC6275" w:rsidRDefault="00EC6275" w:rsidP="00EC6275">
            <w:pPr>
              <w:pStyle w:val="ListParagraph"/>
              <w:numPr>
                <w:ilvl w:val="0"/>
                <w:numId w:val="24"/>
              </w:numPr>
              <w:spacing w:after="0" w:line="240" w:lineRule="auto"/>
              <w:rPr>
                <w:rFonts w:ascii="Verdana" w:hAnsi="Verdana"/>
                <w:sz w:val="20"/>
              </w:rPr>
            </w:pPr>
            <w:r w:rsidRPr="00EC6275">
              <w:rPr>
                <w:rFonts w:ascii="Verdana" w:hAnsi="Verdana"/>
                <w:sz w:val="20"/>
              </w:rPr>
              <w:t>Demand and Capacity Report approved</w:t>
            </w:r>
          </w:p>
          <w:p w:rsidR="00EC6275" w:rsidRPr="00EC6275" w:rsidRDefault="00EC6275" w:rsidP="00EC6275">
            <w:pPr>
              <w:pStyle w:val="ListParagraph"/>
              <w:numPr>
                <w:ilvl w:val="0"/>
                <w:numId w:val="24"/>
              </w:numPr>
              <w:spacing w:after="0" w:line="240" w:lineRule="auto"/>
              <w:rPr>
                <w:rFonts w:ascii="Verdana" w:hAnsi="Verdana"/>
                <w:sz w:val="20"/>
              </w:rPr>
            </w:pPr>
            <w:r w:rsidRPr="00EC6275">
              <w:rPr>
                <w:rFonts w:ascii="Verdana" w:hAnsi="Verdana"/>
                <w:sz w:val="20"/>
              </w:rPr>
              <w:t>To agree implementation plan</w:t>
            </w:r>
          </w:p>
        </w:tc>
      </w:tr>
      <w:tr w:rsidR="00EC6275" w:rsidRPr="00A74A57" w:rsidTr="00F76132">
        <w:trPr>
          <w:trHeight w:val="691"/>
          <w:jc w:val="center"/>
        </w:trPr>
        <w:tc>
          <w:tcPr>
            <w:tcW w:w="1413" w:type="dxa"/>
            <w:vAlign w:val="center"/>
          </w:tcPr>
          <w:p w:rsidR="00EC6275" w:rsidRPr="00EC6275" w:rsidRDefault="00EC6275" w:rsidP="00EC6275">
            <w:pPr>
              <w:spacing w:after="0" w:line="240" w:lineRule="auto"/>
              <w:jc w:val="center"/>
              <w:rPr>
                <w:rFonts w:ascii="Verdana" w:hAnsi="Verdana"/>
                <w:sz w:val="20"/>
                <w:szCs w:val="20"/>
              </w:rPr>
            </w:pPr>
            <w:r w:rsidRPr="00EC6275">
              <w:rPr>
                <w:rFonts w:ascii="Verdana" w:hAnsi="Verdana"/>
                <w:sz w:val="20"/>
                <w:szCs w:val="20"/>
              </w:rPr>
              <w:t>EASC 08</w:t>
            </w:r>
          </w:p>
        </w:tc>
        <w:tc>
          <w:tcPr>
            <w:tcW w:w="3118" w:type="dxa"/>
            <w:vAlign w:val="center"/>
          </w:tcPr>
          <w:p w:rsidR="00EC6275" w:rsidRPr="00EC6275" w:rsidRDefault="00EC6275" w:rsidP="00EC6275">
            <w:pPr>
              <w:spacing w:after="0" w:line="240" w:lineRule="auto"/>
              <w:rPr>
                <w:rFonts w:ascii="Verdana" w:hAnsi="Verdana"/>
                <w:sz w:val="20"/>
                <w:szCs w:val="20"/>
              </w:rPr>
            </w:pPr>
            <w:r w:rsidRPr="00EC6275">
              <w:rPr>
                <w:rFonts w:ascii="Verdana" w:hAnsi="Verdana"/>
                <w:sz w:val="20"/>
                <w:szCs w:val="20"/>
              </w:rPr>
              <w:t>Failure to provide alternative services</w:t>
            </w:r>
          </w:p>
        </w:tc>
        <w:tc>
          <w:tcPr>
            <w:tcW w:w="993" w:type="dxa"/>
            <w:shd w:val="clear" w:color="auto" w:fill="FFC000"/>
            <w:vAlign w:val="center"/>
          </w:tcPr>
          <w:p w:rsidR="00EC6275" w:rsidRPr="00EC6275" w:rsidRDefault="00EC6275" w:rsidP="00EC6275">
            <w:pPr>
              <w:pStyle w:val="Default"/>
              <w:jc w:val="center"/>
              <w:rPr>
                <w:rFonts w:ascii="Verdana" w:hAnsi="Verdana"/>
                <w:sz w:val="20"/>
                <w:szCs w:val="20"/>
              </w:rPr>
            </w:pPr>
            <w:r w:rsidRPr="00EC6275">
              <w:rPr>
                <w:rFonts w:ascii="Verdana" w:hAnsi="Verdana"/>
                <w:sz w:val="20"/>
                <w:szCs w:val="20"/>
              </w:rPr>
              <w:t>12</w:t>
            </w:r>
          </w:p>
        </w:tc>
        <w:tc>
          <w:tcPr>
            <w:tcW w:w="1134" w:type="dxa"/>
            <w:shd w:val="clear" w:color="auto" w:fill="FF0000"/>
            <w:vAlign w:val="center"/>
          </w:tcPr>
          <w:p w:rsidR="00EC6275" w:rsidRPr="00EC6275" w:rsidRDefault="00EC6275" w:rsidP="00EC6275">
            <w:pPr>
              <w:pStyle w:val="Default"/>
              <w:jc w:val="center"/>
              <w:rPr>
                <w:rFonts w:ascii="Verdana" w:hAnsi="Verdana"/>
                <w:color w:val="FFFFFF"/>
                <w:sz w:val="20"/>
                <w:szCs w:val="20"/>
              </w:rPr>
            </w:pPr>
            <w:r w:rsidRPr="00EC6275">
              <w:rPr>
                <w:rFonts w:ascii="Verdana" w:hAnsi="Verdana"/>
                <w:color w:val="FFFFFF"/>
                <w:sz w:val="20"/>
                <w:szCs w:val="20"/>
              </w:rPr>
              <w:t>15</w:t>
            </w:r>
          </w:p>
        </w:tc>
        <w:tc>
          <w:tcPr>
            <w:tcW w:w="2976" w:type="dxa"/>
            <w:shd w:val="clear" w:color="auto" w:fill="FFFFFF" w:themeFill="background1"/>
          </w:tcPr>
          <w:p w:rsidR="00EC6275" w:rsidRPr="00EC6275" w:rsidRDefault="00EC6275" w:rsidP="00EC6275">
            <w:pPr>
              <w:pStyle w:val="ListParagraph"/>
              <w:numPr>
                <w:ilvl w:val="0"/>
                <w:numId w:val="24"/>
              </w:numPr>
              <w:spacing w:after="0" w:line="240" w:lineRule="auto"/>
              <w:rPr>
                <w:rFonts w:ascii="Verdana" w:hAnsi="Verdana"/>
                <w:sz w:val="20"/>
              </w:rPr>
            </w:pPr>
            <w:r w:rsidRPr="00EC6275">
              <w:rPr>
                <w:rFonts w:ascii="Verdana" w:hAnsi="Verdana"/>
                <w:sz w:val="20"/>
              </w:rPr>
              <w:t xml:space="preserve">EASC to coordinate from Jan 2020 </w:t>
            </w:r>
          </w:p>
          <w:p w:rsidR="00EC6275" w:rsidRPr="00EC6275" w:rsidRDefault="00EC6275" w:rsidP="00EC6275">
            <w:pPr>
              <w:pStyle w:val="ListParagraph"/>
              <w:numPr>
                <w:ilvl w:val="0"/>
                <w:numId w:val="24"/>
              </w:numPr>
              <w:spacing w:after="0" w:line="240" w:lineRule="auto"/>
              <w:rPr>
                <w:rFonts w:ascii="Verdana" w:hAnsi="Verdana"/>
                <w:sz w:val="20"/>
              </w:rPr>
            </w:pPr>
            <w:r w:rsidRPr="00EC6275">
              <w:rPr>
                <w:rFonts w:ascii="Verdana" w:hAnsi="Verdana"/>
                <w:sz w:val="20"/>
              </w:rPr>
              <w:t>Agreed by Chairs of HBs</w:t>
            </w:r>
          </w:p>
          <w:p w:rsidR="00EC6275" w:rsidRPr="00EC6275" w:rsidRDefault="00EC6275" w:rsidP="00EC6275">
            <w:pPr>
              <w:pStyle w:val="ListParagraph"/>
              <w:numPr>
                <w:ilvl w:val="0"/>
                <w:numId w:val="24"/>
              </w:numPr>
              <w:spacing w:after="0" w:line="240" w:lineRule="auto"/>
              <w:rPr>
                <w:rFonts w:ascii="Verdana" w:hAnsi="Verdana"/>
                <w:sz w:val="20"/>
              </w:rPr>
            </w:pPr>
            <w:r w:rsidRPr="00EC6275">
              <w:rPr>
                <w:rFonts w:ascii="Verdana" w:hAnsi="Verdana"/>
                <w:sz w:val="20"/>
              </w:rPr>
              <w:t>Letter sent to Andrew Goodall</w:t>
            </w:r>
          </w:p>
          <w:p w:rsidR="00EC6275" w:rsidRPr="00EC6275" w:rsidRDefault="00EC6275" w:rsidP="00EC6275">
            <w:pPr>
              <w:pStyle w:val="ListParagraph"/>
              <w:numPr>
                <w:ilvl w:val="0"/>
                <w:numId w:val="24"/>
              </w:numPr>
              <w:spacing w:after="0" w:line="240" w:lineRule="auto"/>
              <w:rPr>
                <w:rFonts w:ascii="Verdana" w:hAnsi="Verdana"/>
                <w:sz w:val="20"/>
              </w:rPr>
            </w:pPr>
            <w:r w:rsidRPr="00EC6275">
              <w:rPr>
                <w:rFonts w:ascii="Verdana" w:hAnsi="Verdana"/>
                <w:sz w:val="20"/>
              </w:rPr>
              <w:t>Included in Taskforce terms of reference</w:t>
            </w:r>
          </w:p>
        </w:tc>
      </w:tr>
      <w:tr w:rsidR="00EC6275" w:rsidRPr="00A74A57" w:rsidTr="00F76132">
        <w:trPr>
          <w:trHeight w:val="691"/>
          <w:jc w:val="center"/>
        </w:trPr>
        <w:tc>
          <w:tcPr>
            <w:tcW w:w="1413" w:type="dxa"/>
            <w:vAlign w:val="center"/>
          </w:tcPr>
          <w:p w:rsidR="00EC6275" w:rsidRPr="00EC6275" w:rsidRDefault="00EC6275" w:rsidP="00EC6275">
            <w:pPr>
              <w:spacing w:after="0" w:line="240" w:lineRule="auto"/>
              <w:jc w:val="center"/>
              <w:rPr>
                <w:rFonts w:ascii="Verdana" w:hAnsi="Verdana"/>
                <w:color w:val="000000" w:themeColor="text1"/>
                <w:sz w:val="20"/>
                <w:szCs w:val="20"/>
              </w:rPr>
            </w:pPr>
            <w:r w:rsidRPr="00EC6275">
              <w:rPr>
                <w:rFonts w:ascii="Verdana" w:hAnsi="Verdana"/>
                <w:color w:val="000000" w:themeColor="text1"/>
                <w:sz w:val="20"/>
                <w:szCs w:val="20"/>
              </w:rPr>
              <w:t>EASC 13</w:t>
            </w:r>
          </w:p>
          <w:p w:rsidR="00EC6275" w:rsidRPr="00EC6275" w:rsidRDefault="00EC6275" w:rsidP="00EC6275">
            <w:pPr>
              <w:spacing w:after="0" w:line="240" w:lineRule="auto"/>
              <w:jc w:val="center"/>
              <w:rPr>
                <w:rFonts w:ascii="Verdana" w:hAnsi="Verdana"/>
                <w:color w:val="000000" w:themeColor="text1"/>
                <w:sz w:val="20"/>
                <w:szCs w:val="20"/>
              </w:rPr>
            </w:pPr>
            <w:r w:rsidRPr="00EC6275">
              <w:rPr>
                <w:rFonts w:ascii="Verdana" w:hAnsi="Verdana"/>
                <w:color w:val="000000" w:themeColor="text1"/>
                <w:sz w:val="20"/>
                <w:szCs w:val="20"/>
              </w:rPr>
              <w:t>(added July 2018)</w:t>
            </w:r>
          </w:p>
        </w:tc>
        <w:tc>
          <w:tcPr>
            <w:tcW w:w="3118" w:type="dxa"/>
            <w:vAlign w:val="center"/>
          </w:tcPr>
          <w:p w:rsidR="00EC6275" w:rsidRPr="00EC6275" w:rsidRDefault="00EC6275" w:rsidP="00EC6275">
            <w:pPr>
              <w:spacing w:after="0" w:line="240" w:lineRule="auto"/>
              <w:rPr>
                <w:rFonts w:ascii="Verdana" w:hAnsi="Verdana"/>
                <w:color w:val="000000" w:themeColor="text1"/>
                <w:sz w:val="20"/>
                <w:szCs w:val="20"/>
              </w:rPr>
            </w:pPr>
            <w:r w:rsidRPr="00EC6275">
              <w:rPr>
                <w:rFonts w:ascii="Verdana" w:hAnsi="Verdana"/>
                <w:color w:val="000000" w:themeColor="text1"/>
                <w:sz w:val="20"/>
                <w:szCs w:val="20"/>
              </w:rPr>
              <w:t xml:space="preserve">Failure to ensure the commissioning of emergency ambulance services is appropriately clinically </w:t>
            </w:r>
            <w:proofErr w:type="spellStart"/>
            <w:r w:rsidRPr="00EC6275">
              <w:rPr>
                <w:rFonts w:ascii="Verdana" w:hAnsi="Verdana"/>
                <w:color w:val="000000" w:themeColor="text1"/>
                <w:sz w:val="20"/>
                <w:szCs w:val="20"/>
              </w:rPr>
              <w:t>categorised</w:t>
            </w:r>
            <w:proofErr w:type="spellEnd"/>
          </w:p>
        </w:tc>
        <w:tc>
          <w:tcPr>
            <w:tcW w:w="993" w:type="dxa"/>
            <w:shd w:val="clear" w:color="auto" w:fill="FF0000"/>
            <w:vAlign w:val="center"/>
          </w:tcPr>
          <w:p w:rsidR="00EC6275" w:rsidRPr="00EC6275" w:rsidRDefault="00EC6275" w:rsidP="00EC6275">
            <w:pPr>
              <w:pStyle w:val="Default"/>
              <w:jc w:val="center"/>
              <w:rPr>
                <w:rFonts w:ascii="Verdana" w:hAnsi="Verdana"/>
                <w:sz w:val="20"/>
                <w:szCs w:val="20"/>
              </w:rPr>
            </w:pPr>
            <w:r w:rsidRPr="00EC6275">
              <w:rPr>
                <w:rFonts w:ascii="Verdana" w:hAnsi="Verdana"/>
                <w:color w:val="FFFFFF" w:themeColor="background1"/>
                <w:sz w:val="20"/>
                <w:szCs w:val="20"/>
              </w:rPr>
              <w:t>15</w:t>
            </w:r>
          </w:p>
        </w:tc>
        <w:tc>
          <w:tcPr>
            <w:tcW w:w="1134" w:type="dxa"/>
            <w:tcBorders>
              <w:bottom w:val="single" w:sz="4" w:space="0" w:color="auto"/>
            </w:tcBorders>
            <w:shd w:val="clear" w:color="auto" w:fill="FF0000"/>
            <w:vAlign w:val="center"/>
          </w:tcPr>
          <w:p w:rsidR="00EC6275" w:rsidRPr="00EC6275" w:rsidRDefault="00EC6275" w:rsidP="00EC6275">
            <w:pPr>
              <w:pStyle w:val="Default"/>
              <w:jc w:val="center"/>
              <w:rPr>
                <w:rFonts w:ascii="Verdana" w:hAnsi="Verdana"/>
                <w:color w:val="FFFFFF"/>
                <w:sz w:val="20"/>
                <w:szCs w:val="20"/>
              </w:rPr>
            </w:pPr>
            <w:r w:rsidRPr="00EC6275">
              <w:rPr>
                <w:rFonts w:ascii="Verdana" w:hAnsi="Verdana"/>
                <w:color w:val="FFFFFF"/>
                <w:sz w:val="20"/>
                <w:szCs w:val="20"/>
              </w:rPr>
              <w:t>15</w:t>
            </w:r>
          </w:p>
        </w:tc>
        <w:tc>
          <w:tcPr>
            <w:tcW w:w="2976" w:type="dxa"/>
            <w:tcBorders>
              <w:bottom w:val="single" w:sz="4" w:space="0" w:color="auto"/>
            </w:tcBorders>
            <w:shd w:val="clear" w:color="auto" w:fill="FFFFFF" w:themeFill="background1"/>
          </w:tcPr>
          <w:p w:rsidR="00EC6275" w:rsidRPr="00EC6275" w:rsidRDefault="00EC6275" w:rsidP="00EC6275">
            <w:pPr>
              <w:pStyle w:val="ListParagraph"/>
              <w:numPr>
                <w:ilvl w:val="0"/>
                <w:numId w:val="24"/>
              </w:numPr>
              <w:spacing w:after="0" w:line="240" w:lineRule="auto"/>
              <w:rPr>
                <w:rFonts w:ascii="Verdana" w:hAnsi="Verdana" w:cs="Arial"/>
                <w:color w:val="000000" w:themeColor="text1"/>
                <w:sz w:val="20"/>
              </w:rPr>
            </w:pPr>
            <w:r w:rsidRPr="00EC6275">
              <w:rPr>
                <w:rFonts w:ascii="Verdana" w:hAnsi="Verdana" w:cs="Arial"/>
                <w:color w:val="000000" w:themeColor="text1"/>
                <w:sz w:val="20"/>
              </w:rPr>
              <w:t>Further investment in Clinical desk</w:t>
            </w:r>
          </w:p>
          <w:p w:rsidR="00EC6275" w:rsidRPr="00EC6275" w:rsidRDefault="00EC6275" w:rsidP="00EC6275">
            <w:pPr>
              <w:pStyle w:val="ListParagraph"/>
              <w:numPr>
                <w:ilvl w:val="0"/>
                <w:numId w:val="24"/>
              </w:numPr>
              <w:spacing w:after="0" w:line="240" w:lineRule="auto"/>
              <w:rPr>
                <w:rFonts w:ascii="Verdana" w:hAnsi="Verdana" w:cs="Arial"/>
                <w:color w:val="000000" w:themeColor="text1"/>
                <w:sz w:val="20"/>
              </w:rPr>
            </w:pPr>
            <w:r w:rsidRPr="00EC6275">
              <w:rPr>
                <w:rFonts w:ascii="Verdana" w:hAnsi="Verdana" w:cs="Arial"/>
                <w:color w:val="000000" w:themeColor="text1"/>
                <w:sz w:val="20"/>
              </w:rPr>
              <w:t>Lessons learned from previous work on red category</w:t>
            </w:r>
          </w:p>
          <w:p w:rsidR="00EC6275" w:rsidRPr="00EC6275" w:rsidRDefault="00EC6275" w:rsidP="00EC6275">
            <w:pPr>
              <w:pStyle w:val="ListParagraph"/>
              <w:numPr>
                <w:ilvl w:val="0"/>
                <w:numId w:val="24"/>
              </w:numPr>
              <w:spacing w:after="0" w:line="240" w:lineRule="auto"/>
              <w:rPr>
                <w:rFonts w:ascii="Verdana" w:hAnsi="Verdana"/>
                <w:sz w:val="20"/>
              </w:rPr>
            </w:pPr>
            <w:r w:rsidRPr="00EC6275">
              <w:rPr>
                <w:rFonts w:ascii="Verdana" w:hAnsi="Verdana" w:cs="Arial"/>
                <w:color w:val="000000" w:themeColor="text1"/>
                <w:sz w:val="20"/>
              </w:rPr>
              <w:t>Implementation of Amber Review</w:t>
            </w:r>
          </w:p>
        </w:tc>
      </w:tr>
    </w:tbl>
    <w:p w:rsidR="00400E1E" w:rsidRDefault="00400E1E" w:rsidP="00E35663">
      <w:pPr>
        <w:spacing w:after="0" w:line="240" w:lineRule="auto"/>
        <w:jc w:val="both"/>
        <w:rPr>
          <w:rFonts w:ascii="Verdana" w:hAnsi="Verdana" w:cs="Arial"/>
          <w:b/>
          <w:sz w:val="24"/>
          <w:szCs w:val="24"/>
        </w:rPr>
      </w:pPr>
    </w:p>
    <w:p w:rsidR="00E35663" w:rsidRDefault="00EE3AC4" w:rsidP="00E35663">
      <w:pPr>
        <w:spacing w:after="0" w:line="240" w:lineRule="auto"/>
        <w:jc w:val="both"/>
        <w:rPr>
          <w:rFonts w:ascii="Verdana" w:hAnsi="Verdana" w:cs="Arial"/>
          <w:b/>
          <w:sz w:val="24"/>
          <w:szCs w:val="24"/>
        </w:rPr>
      </w:pPr>
      <w:r>
        <w:rPr>
          <w:rFonts w:ascii="Verdana" w:hAnsi="Verdana" w:cs="Arial"/>
          <w:b/>
          <w:sz w:val="24"/>
          <w:szCs w:val="24"/>
        </w:rPr>
        <w:tab/>
      </w:r>
      <w:r w:rsidR="00E35663" w:rsidRPr="00E35663">
        <w:rPr>
          <w:rFonts w:ascii="Verdana" w:hAnsi="Verdana" w:cs="Arial"/>
          <w:b/>
          <w:sz w:val="24"/>
          <w:szCs w:val="24"/>
        </w:rPr>
        <w:t>Sub Group Reporting</w:t>
      </w:r>
    </w:p>
    <w:p w:rsidR="006918F3" w:rsidRPr="00E35663" w:rsidRDefault="006918F3" w:rsidP="00E35663">
      <w:pPr>
        <w:spacing w:after="0" w:line="240" w:lineRule="auto"/>
        <w:jc w:val="both"/>
        <w:rPr>
          <w:rFonts w:ascii="Verdana" w:hAnsi="Verdana" w:cs="Arial"/>
          <w:b/>
          <w:sz w:val="24"/>
          <w:szCs w:val="24"/>
        </w:rPr>
      </w:pPr>
    </w:p>
    <w:p w:rsidR="00E35663" w:rsidRPr="000024C3" w:rsidRDefault="006918F3" w:rsidP="006918F3">
      <w:pPr>
        <w:pStyle w:val="ListParagraph"/>
        <w:spacing w:after="0" w:line="240" w:lineRule="auto"/>
        <w:jc w:val="both"/>
        <w:rPr>
          <w:rFonts w:ascii="Verdana" w:hAnsi="Verdana" w:cs="Arial"/>
          <w:sz w:val="24"/>
          <w:szCs w:val="24"/>
          <w:u w:val="single"/>
        </w:rPr>
      </w:pPr>
      <w:r w:rsidRPr="000024C3">
        <w:rPr>
          <w:rFonts w:ascii="Verdana" w:hAnsi="Verdana" w:cs="Arial"/>
          <w:sz w:val="24"/>
          <w:szCs w:val="24"/>
          <w:u w:val="single"/>
        </w:rPr>
        <w:t>EASC Management Group</w:t>
      </w:r>
    </w:p>
    <w:p w:rsidR="006918F3" w:rsidRDefault="000024C3"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Management Group Members have received two draft versions of their Annual Report which is attached at </w:t>
      </w:r>
      <w:r w:rsidRPr="000024C3">
        <w:rPr>
          <w:rFonts w:ascii="Verdana" w:hAnsi="Verdana" w:cs="Arial"/>
          <w:b/>
          <w:sz w:val="24"/>
          <w:szCs w:val="24"/>
        </w:rPr>
        <w:t>Appendix 3</w:t>
      </w:r>
      <w:r>
        <w:rPr>
          <w:rFonts w:ascii="Verdana" w:hAnsi="Verdana" w:cs="Arial"/>
          <w:sz w:val="24"/>
          <w:szCs w:val="24"/>
        </w:rPr>
        <w:t xml:space="preserve">. Due to time restrictions at the last meeting the Group will need further time to undertake the effectiveness survey which will be reported to the next EAS Committee meeting. </w:t>
      </w:r>
    </w:p>
    <w:p w:rsidR="000024C3" w:rsidRDefault="000024C3" w:rsidP="000024C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Annual Report also includes the Terms of Reference which the EAS Committee is asked to approve.</w:t>
      </w:r>
    </w:p>
    <w:p w:rsidR="000024C3" w:rsidRDefault="000024C3" w:rsidP="000024C3">
      <w:pPr>
        <w:pStyle w:val="ListParagraph"/>
        <w:spacing w:after="0" w:line="240" w:lineRule="auto"/>
        <w:jc w:val="both"/>
        <w:rPr>
          <w:rFonts w:ascii="Verdana" w:hAnsi="Verdana" w:cs="Arial"/>
          <w:sz w:val="24"/>
          <w:szCs w:val="24"/>
        </w:rPr>
      </w:pPr>
    </w:p>
    <w:p w:rsidR="000024C3" w:rsidRPr="000024C3" w:rsidRDefault="000024C3" w:rsidP="000024C3">
      <w:pPr>
        <w:pStyle w:val="ListParagraph"/>
        <w:spacing w:after="0" w:line="240" w:lineRule="auto"/>
        <w:jc w:val="both"/>
        <w:rPr>
          <w:rFonts w:ascii="Verdana" w:hAnsi="Verdana" w:cs="Arial"/>
          <w:sz w:val="24"/>
          <w:szCs w:val="24"/>
          <w:u w:val="single"/>
        </w:rPr>
      </w:pPr>
      <w:r w:rsidRPr="000024C3">
        <w:rPr>
          <w:rFonts w:ascii="Verdana" w:hAnsi="Verdana" w:cs="Arial"/>
          <w:sz w:val="24"/>
          <w:szCs w:val="24"/>
          <w:u w:val="single"/>
        </w:rPr>
        <w:t>Non-Emergency Patient Transport Group Delivery Assurance Group</w:t>
      </w:r>
      <w:r>
        <w:rPr>
          <w:rFonts w:ascii="Verdana" w:hAnsi="Verdana" w:cs="Arial"/>
          <w:sz w:val="24"/>
          <w:szCs w:val="24"/>
          <w:u w:val="single"/>
        </w:rPr>
        <w:t xml:space="preserve"> Annual Report 2019-2020</w:t>
      </w:r>
    </w:p>
    <w:p w:rsidR="000024C3" w:rsidRDefault="000024C3"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NEPTS DAG have produced their first Annual Report on the work undertaken over 2019-2020</w:t>
      </w:r>
      <w:r w:rsidR="005069A7">
        <w:rPr>
          <w:rFonts w:ascii="Verdana" w:hAnsi="Verdana" w:cs="Arial"/>
          <w:sz w:val="24"/>
          <w:szCs w:val="24"/>
        </w:rPr>
        <w:t xml:space="preserve"> and is attached at </w:t>
      </w:r>
      <w:r w:rsidR="005069A7" w:rsidRPr="005069A7">
        <w:rPr>
          <w:rFonts w:ascii="Verdana" w:hAnsi="Verdana" w:cs="Arial"/>
          <w:b/>
          <w:sz w:val="24"/>
          <w:szCs w:val="24"/>
        </w:rPr>
        <w:t>Appendix 4</w:t>
      </w:r>
      <w:r>
        <w:rPr>
          <w:rFonts w:ascii="Verdana" w:hAnsi="Verdana" w:cs="Arial"/>
          <w:sz w:val="24"/>
          <w:szCs w:val="24"/>
        </w:rPr>
        <w:t xml:space="preserve">. </w:t>
      </w:r>
    </w:p>
    <w:p w:rsidR="000024C3" w:rsidRDefault="000024C3"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Annual Report also includes the Terms of Reference which the EAS Committee is asked to approve.</w:t>
      </w:r>
    </w:p>
    <w:p w:rsidR="000C6EAC" w:rsidRDefault="000C6EAC"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NEPTS DAG members will also complete the effectiveness survey which will be reported to the next EAS Committee meeting.</w:t>
      </w:r>
    </w:p>
    <w:p w:rsidR="005069A7" w:rsidRDefault="005069A7"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Members are also asked to note the Internal Audit Report on NEPTS</w:t>
      </w:r>
      <w:r w:rsidR="000C6EAC">
        <w:rPr>
          <w:rFonts w:ascii="Verdana" w:hAnsi="Verdana" w:cs="Arial"/>
          <w:sz w:val="24"/>
          <w:szCs w:val="24"/>
        </w:rPr>
        <w:t xml:space="preserve"> which has been received at the Audit and Risk Committee at Cwm Taf Morgannwg University Health Board</w:t>
      </w:r>
      <w:r>
        <w:rPr>
          <w:rFonts w:ascii="Verdana" w:hAnsi="Verdana" w:cs="Arial"/>
          <w:sz w:val="24"/>
          <w:szCs w:val="24"/>
        </w:rPr>
        <w:t xml:space="preserve">. </w:t>
      </w:r>
    </w:p>
    <w:p w:rsidR="000024C3" w:rsidRDefault="000024C3" w:rsidP="000024C3">
      <w:pPr>
        <w:pStyle w:val="ListParagraph"/>
        <w:spacing w:after="0" w:line="240" w:lineRule="auto"/>
        <w:jc w:val="both"/>
        <w:rPr>
          <w:rFonts w:ascii="Verdana" w:hAnsi="Verdana" w:cs="Arial"/>
          <w:sz w:val="24"/>
          <w:szCs w:val="24"/>
        </w:rPr>
      </w:pPr>
    </w:p>
    <w:p w:rsidR="000024C3" w:rsidRPr="007562FB" w:rsidRDefault="000024C3" w:rsidP="000024C3">
      <w:pPr>
        <w:pStyle w:val="ListParagraph"/>
        <w:spacing w:after="0" w:line="240" w:lineRule="auto"/>
        <w:jc w:val="both"/>
        <w:rPr>
          <w:rFonts w:ascii="Verdana" w:hAnsi="Verdana" w:cs="Arial"/>
          <w:sz w:val="24"/>
          <w:szCs w:val="24"/>
          <w:u w:val="single"/>
        </w:rPr>
      </w:pPr>
      <w:r w:rsidRPr="007562FB">
        <w:rPr>
          <w:rFonts w:ascii="Verdana" w:hAnsi="Verdana" w:cs="Arial"/>
          <w:sz w:val="24"/>
          <w:szCs w:val="24"/>
          <w:u w:val="single"/>
        </w:rPr>
        <w:t xml:space="preserve">Emergency Medical Retrieval and Transfer </w:t>
      </w:r>
      <w:r w:rsidR="007562FB">
        <w:rPr>
          <w:rFonts w:ascii="Verdana" w:hAnsi="Verdana" w:cs="Arial"/>
          <w:sz w:val="24"/>
          <w:szCs w:val="24"/>
          <w:u w:val="single"/>
        </w:rPr>
        <w:t xml:space="preserve">Service Cymru Hosted Bodies </w:t>
      </w:r>
      <w:r w:rsidRPr="007562FB">
        <w:rPr>
          <w:rFonts w:ascii="Verdana" w:hAnsi="Verdana" w:cs="Arial"/>
          <w:sz w:val="24"/>
          <w:szCs w:val="24"/>
          <w:u w:val="single"/>
        </w:rPr>
        <w:t>Annual Report</w:t>
      </w:r>
      <w:r w:rsidR="007562FB">
        <w:rPr>
          <w:rFonts w:ascii="Verdana" w:hAnsi="Verdana" w:cs="Arial"/>
          <w:sz w:val="24"/>
          <w:szCs w:val="24"/>
          <w:u w:val="single"/>
        </w:rPr>
        <w:t xml:space="preserve"> 2019 -2020</w:t>
      </w:r>
    </w:p>
    <w:p w:rsidR="000024C3" w:rsidRDefault="007562FB"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At the last meeting of the EMRTS Delivery Assurance Group the Members received and approved the EMRTS Cymru Hosted Bodies Annual Report for 2019-2020 attached at </w:t>
      </w:r>
      <w:r w:rsidRPr="007562FB">
        <w:rPr>
          <w:rFonts w:ascii="Verdana" w:hAnsi="Verdana" w:cs="Arial"/>
          <w:b/>
          <w:sz w:val="24"/>
          <w:szCs w:val="24"/>
        </w:rPr>
        <w:t xml:space="preserve">Appendix </w:t>
      </w:r>
      <w:r w:rsidR="001A1248">
        <w:rPr>
          <w:rFonts w:ascii="Verdana" w:hAnsi="Verdana" w:cs="Arial"/>
          <w:b/>
          <w:sz w:val="24"/>
          <w:szCs w:val="24"/>
        </w:rPr>
        <w:t>5</w:t>
      </w:r>
      <w:bookmarkStart w:id="0" w:name="_GoBack"/>
      <w:bookmarkEnd w:id="0"/>
      <w:r>
        <w:rPr>
          <w:rFonts w:ascii="Verdana" w:hAnsi="Verdana" w:cs="Arial"/>
          <w:sz w:val="24"/>
          <w:szCs w:val="24"/>
        </w:rPr>
        <w:t xml:space="preserve">. </w:t>
      </w:r>
    </w:p>
    <w:p w:rsidR="007562FB" w:rsidRDefault="007562FB"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Further work to develop an Annual Report on the Delivery Assurance Group’s work is underway and will be presented at the next Committee meeting.</w:t>
      </w:r>
    </w:p>
    <w:p w:rsidR="00EE3AC4" w:rsidRDefault="00EE3AC4" w:rsidP="00EE3AC4">
      <w:pPr>
        <w:pStyle w:val="ListParagraph"/>
        <w:spacing w:after="0" w:line="240" w:lineRule="auto"/>
        <w:jc w:val="both"/>
        <w:rPr>
          <w:rFonts w:ascii="Verdana" w:hAnsi="Verdana" w:cs="Arial"/>
          <w:sz w:val="24"/>
          <w:szCs w:val="24"/>
        </w:rPr>
      </w:pPr>
    </w:p>
    <w:p w:rsidR="00EE3AC4" w:rsidRPr="00EE3AC4" w:rsidRDefault="00EE3AC4" w:rsidP="00EE3AC4">
      <w:pPr>
        <w:pStyle w:val="ListParagraph"/>
        <w:spacing w:after="0" w:line="240" w:lineRule="auto"/>
        <w:jc w:val="both"/>
        <w:rPr>
          <w:rFonts w:ascii="Verdana" w:hAnsi="Verdana" w:cs="Arial"/>
          <w:b/>
          <w:sz w:val="24"/>
          <w:szCs w:val="24"/>
        </w:rPr>
      </w:pPr>
      <w:r w:rsidRPr="00EE3AC4">
        <w:rPr>
          <w:rFonts w:ascii="Verdana" w:hAnsi="Verdana" w:cs="Arial"/>
          <w:b/>
          <w:sz w:val="24"/>
          <w:szCs w:val="24"/>
        </w:rPr>
        <w:t>Plans to improve public access to the Committee meetings</w:t>
      </w:r>
    </w:p>
    <w:p w:rsidR="00EE3AC4" w:rsidRDefault="00EE3AC4"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the Welsh Government officials had written to Chairs of health</w:t>
      </w:r>
      <w:r w:rsidR="00EA5DB5">
        <w:rPr>
          <w:rFonts w:ascii="Verdana" w:hAnsi="Verdana" w:cs="Arial"/>
          <w:sz w:val="24"/>
          <w:szCs w:val="24"/>
        </w:rPr>
        <w:t xml:space="preserve"> boards seeking assurance that the public had access to the board meetings. To date, most boards have either live streamed or recorded meetings and posted on line for the public to access.</w:t>
      </w:r>
      <w:r w:rsidR="00400E1E">
        <w:rPr>
          <w:rFonts w:ascii="Verdana" w:hAnsi="Verdana" w:cs="Arial"/>
          <w:sz w:val="24"/>
          <w:szCs w:val="24"/>
        </w:rPr>
        <w:t xml:space="preserve"> It is therefore likely that the Joint Committee will also need to </w:t>
      </w:r>
      <w:r w:rsidR="007562FB">
        <w:rPr>
          <w:rFonts w:ascii="Verdana" w:hAnsi="Verdana" w:cs="Arial"/>
          <w:sz w:val="24"/>
          <w:szCs w:val="24"/>
        </w:rPr>
        <w:t>consider this approach for future meetings.</w:t>
      </w:r>
    </w:p>
    <w:p w:rsidR="007562FB" w:rsidRDefault="007562FB" w:rsidP="007562FB">
      <w:pPr>
        <w:pStyle w:val="ListParagraph"/>
        <w:spacing w:after="0" w:line="240" w:lineRule="auto"/>
        <w:jc w:val="both"/>
        <w:rPr>
          <w:rFonts w:ascii="Verdana" w:hAnsi="Verdana" w:cs="Arial"/>
          <w:sz w:val="24"/>
          <w:szCs w:val="24"/>
        </w:rPr>
      </w:pPr>
    </w:p>
    <w:p w:rsidR="007562FB" w:rsidRPr="007562FB" w:rsidRDefault="007562FB" w:rsidP="007562FB">
      <w:pPr>
        <w:pStyle w:val="ListParagraph"/>
        <w:spacing w:after="0" w:line="240" w:lineRule="auto"/>
        <w:jc w:val="both"/>
        <w:rPr>
          <w:rFonts w:ascii="Verdana" w:hAnsi="Verdana" w:cs="Arial"/>
          <w:b/>
          <w:sz w:val="24"/>
          <w:szCs w:val="24"/>
        </w:rPr>
      </w:pPr>
      <w:r w:rsidRPr="007562FB">
        <w:rPr>
          <w:rFonts w:ascii="Verdana" w:hAnsi="Verdana" w:cs="Arial"/>
          <w:b/>
          <w:sz w:val="24"/>
          <w:szCs w:val="24"/>
        </w:rPr>
        <w:t>Declarations of Interest</w:t>
      </w:r>
    </w:p>
    <w:p w:rsidR="00EA5DB5" w:rsidRPr="00E35663" w:rsidRDefault="007562FB" w:rsidP="00E3566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a new approach has been taken this year to capture declarations of interest for the Committee. Members and nominated deputies have been requested to complete a form and this will be presented at the next meeting. Similar work is ongoing within the Committee Sub Groups and will be included within the report.</w:t>
      </w:r>
    </w:p>
    <w:p w:rsidR="000D248E" w:rsidRPr="00E35663" w:rsidRDefault="000D248E" w:rsidP="00E35663">
      <w:pPr>
        <w:pStyle w:val="ListParagraph"/>
        <w:spacing w:after="0" w:line="240" w:lineRule="auto"/>
        <w:rPr>
          <w:rFonts w:ascii="Verdana" w:hAnsi="Verdana" w:cs="Arial"/>
          <w:sz w:val="24"/>
          <w:szCs w:val="24"/>
        </w:rPr>
      </w:pPr>
    </w:p>
    <w:p w:rsidR="002F3A0D" w:rsidRPr="00E23B12"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Pr="00E23B12">
        <w:rPr>
          <w:rFonts w:ascii="Verdana" w:hAnsi="Verdana" w:cs="Arial"/>
          <w:b/>
          <w:sz w:val="24"/>
          <w:szCs w:val="24"/>
        </w:rPr>
        <w:t xml:space="preserve">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1A1248" w:rsidRDefault="001A1248" w:rsidP="00C77952">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The EASC Management Group are working on the risk register for the Committee and a report will be provided at the next meeting.</w:t>
      </w:r>
    </w:p>
    <w:p w:rsidR="00C77952" w:rsidRPr="00C77952" w:rsidRDefault="00C77952" w:rsidP="00C77952">
      <w:pPr>
        <w:pStyle w:val="ListParagraph"/>
        <w:numPr>
          <w:ilvl w:val="1"/>
          <w:numId w:val="1"/>
        </w:numPr>
        <w:tabs>
          <w:tab w:val="left" w:pos="720"/>
          <w:tab w:val="left" w:pos="1170"/>
        </w:tabs>
        <w:spacing w:after="0" w:line="240" w:lineRule="auto"/>
        <w:jc w:val="both"/>
        <w:rPr>
          <w:rFonts w:ascii="Verdana" w:hAnsi="Verdana" w:cs="Arial"/>
          <w:sz w:val="24"/>
          <w:szCs w:val="24"/>
        </w:rPr>
      </w:pPr>
      <w:r w:rsidRPr="00C77952">
        <w:rPr>
          <w:rFonts w:ascii="Verdana" w:hAnsi="Verdana" w:cs="Arial"/>
          <w:sz w:val="24"/>
          <w:szCs w:val="24"/>
        </w:rPr>
        <w:t>Note that this is the first time that the Committee has received an Annual Report</w:t>
      </w:r>
      <w:r w:rsidR="001A1248">
        <w:rPr>
          <w:rFonts w:ascii="Verdana" w:hAnsi="Verdana" w:cs="Arial"/>
          <w:sz w:val="24"/>
          <w:szCs w:val="24"/>
        </w:rPr>
        <w:t xml:space="preserve"> with an aim to assess the effectiveness</w:t>
      </w:r>
      <w:r w:rsidRPr="00C77952">
        <w:rPr>
          <w:rFonts w:ascii="Verdana" w:hAnsi="Verdana" w:cs="Arial"/>
          <w:sz w:val="24"/>
          <w:szCs w:val="24"/>
        </w:rPr>
        <w:t>.</w:t>
      </w:r>
    </w:p>
    <w:p w:rsidR="00E35663" w:rsidRDefault="00C77952" w:rsidP="00C77952">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Note that additional information will be provided to the Committee from the Sub Groups to outline the ongoing work</w:t>
      </w:r>
      <w:r w:rsidRPr="00C77952">
        <w:rPr>
          <w:rFonts w:ascii="Verdana" w:hAnsi="Verdana" w:cs="Arial"/>
          <w:sz w:val="24"/>
          <w:szCs w:val="24"/>
        </w:rPr>
        <w:t xml:space="preserve"> </w:t>
      </w:r>
      <w:r w:rsidR="001A1248">
        <w:rPr>
          <w:rFonts w:ascii="Verdana" w:hAnsi="Verdana" w:cs="Arial"/>
          <w:sz w:val="24"/>
          <w:szCs w:val="24"/>
        </w:rPr>
        <w:t>including the effectiveness survey</w:t>
      </w:r>
    </w:p>
    <w:p w:rsidR="001A1248" w:rsidRPr="00C77952" w:rsidRDefault="001A1248" w:rsidP="00C77952">
      <w:pPr>
        <w:pStyle w:val="ListParagraph"/>
        <w:numPr>
          <w:ilvl w:val="1"/>
          <w:numId w:val="1"/>
        </w:numPr>
        <w:tabs>
          <w:tab w:val="left" w:pos="720"/>
          <w:tab w:val="left" w:pos="1170"/>
        </w:tabs>
        <w:spacing w:after="0" w:line="240" w:lineRule="auto"/>
        <w:jc w:val="both"/>
        <w:rPr>
          <w:rFonts w:ascii="Verdana" w:hAnsi="Verdana" w:cs="Arial"/>
          <w:sz w:val="24"/>
          <w:szCs w:val="24"/>
        </w:rPr>
      </w:pPr>
      <w:r>
        <w:rPr>
          <w:rFonts w:ascii="Verdana" w:hAnsi="Verdana" w:cs="Arial"/>
          <w:sz w:val="24"/>
          <w:szCs w:val="24"/>
        </w:rPr>
        <w:t>Additional information will be provided from the EMRTS DAG in due course.</w:t>
      </w:r>
    </w:p>
    <w:p w:rsidR="002F3A0D" w:rsidRDefault="002F3A0D" w:rsidP="00344184">
      <w:pPr>
        <w:spacing w:after="0" w:line="240" w:lineRule="auto"/>
        <w:rPr>
          <w:rFonts w:ascii="Verdana" w:hAnsi="Verdana" w:cs="Arial"/>
          <w:b/>
          <w:sz w:val="24"/>
          <w:szCs w:val="24"/>
        </w:rPr>
      </w:pPr>
    </w:p>
    <w:p w:rsidR="001A1248" w:rsidRDefault="001A1248" w:rsidP="00344184">
      <w:pPr>
        <w:spacing w:after="0" w:line="240" w:lineRule="auto"/>
        <w:rPr>
          <w:rFonts w:ascii="Verdana" w:hAnsi="Verdana" w:cs="Arial"/>
          <w:b/>
          <w:sz w:val="24"/>
          <w:szCs w:val="24"/>
        </w:rPr>
      </w:pPr>
    </w:p>
    <w:p w:rsidR="001A1248" w:rsidRDefault="001A1248" w:rsidP="00344184">
      <w:pPr>
        <w:spacing w:after="0" w:line="240" w:lineRule="auto"/>
        <w:rPr>
          <w:rFonts w:ascii="Verdana" w:hAnsi="Verdana" w:cs="Arial"/>
          <w:b/>
          <w:sz w:val="24"/>
          <w:szCs w:val="24"/>
        </w:rPr>
      </w:pPr>
    </w:p>
    <w:p w:rsidR="001A1248" w:rsidRDefault="001A1248" w:rsidP="00344184">
      <w:pPr>
        <w:spacing w:after="0" w:line="240" w:lineRule="auto"/>
        <w:rPr>
          <w:rFonts w:ascii="Verdana" w:hAnsi="Verdana" w:cs="Arial"/>
          <w:b/>
          <w:sz w:val="24"/>
          <w:szCs w:val="24"/>
        </w:rPr>
      </w:pPr>
    </w:p>
    <w:p w:rsidR="001A1248" w:rsidRPr="00E23B12" w:rsidRDefault="001A1248"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rsidTr="001A1248">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1A1248">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1A1248">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rsidR="007F0937" w:rsidRPr="00E23B12" w:rsidRDefault="001A124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rsidTr="001A1248">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1A1248">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1A1248">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812"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1A1248">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7562FB" w:rsidRDefault="007C50BE" w:rsidP="007C50BE">
      <w:pPr>
        <w:pStyle w:val="ListParagraph"/>
        <w:numPr>
          <w:ilvl w:val="0"/>
          <w:numId w:val="23"/>
        </w:numPr>
        <w:spacing w:after="0" w:line="240" w:lineRule="auto"/>
        <w:rPr>
          <w:rFonts w:ascii="Verdana" w:hAnsi="Verdana" w:cs="Arial"/>
          <w:sz w:val="24"/>
          <w:szCs w:val="24"/>
        </w:rPr>
      </w:pPr>
      <w:r w:rsidRPr="007C50BE">
        <w:rPr>
          <w:rFonts w:ascii="Verdana" w:hAnsi="Verdana" w:cs="Arial"/>
          <w:b/>
          <w:sz w:val="24"/>
          <w:szCs w:val="24"/>
        </w:rPr>
        <w:t>DISCUSS</w:t>
      </w:r>
      <w:r>
        <w:rPr>
          <w:rFonts w:ascii="Verdana" w:hAnsi="Verdana" w:cs="Arial"/>
          <w:sz w:val="24"/>
          <w:szCs w:val="24"/>
        </w:rPr>
        <w:t xml:space="preserve"> and </w:t>
      </w:r>
      <w:r w:rsidRPr="007C50BE">
        <w:rPr>
          <w:rFonts w:ascii="Verdana" w:hAnsi="Verdana" w:cs="Arial"/>
          <w:b/>
          <w:sz w:val="24"/>
          <w:szCs w:val="24"/>
        </w:rPr>
        <w:t>NOTE</w:t>
      </w:r>
      <w:r>
        <w:rPr>
          <w:rFonts w:ascii="Verdana" w:hAnsi="Verdana" w:cs="Arial"/>
          <w:sz w:val="24"/>
          <w:szCs w:val="24"/>
        </w:rPr>
        <w:t xml:space="preserve"> the report</w:t>
      </w:r>
    </w:p>
    <w:p w:rsidR="00A16D15" w:rsidRDefault="007562FB" w:rsidP="007C50BE">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the</w:t>
      </w:r>
      <w:r w:rsidR="00A16D15">
        <w:rPr>
          <w:rFonts w:ascii="Verdana" w:hAnsi="Verdana" w:cs="Arial"/>
          <w:sz w:val="24"/>
          <w:szCs w:val="24"/>
        </w:rPr>
        <w:t xml:space="preserve"> EASC Committee</w:t>
      </w:r>
      <w:r>
        <w:rPr>
          <w:rFonts w:ascii="Verdana" w:hAnsi="Verdana" w:cs="Arial"/>
          <w:sz w:val="24"/>
          <w:szCs w:val="24"/>
        </w:rPr>
        <w:t xml:space="preserve"> Annual Report for 2019-2020</w:t>
      </w:r>
    </w:p>
    <w:p w:rsidR="005069A7" w:rsidRDefault="005069A7" w:rsidP="007C50BE">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RATIFY </w:t>
      </w:r>
      <w:r>
        <w:rPr>
          <w:rFonts w:ascii="Verdana" w:hAnsi="Verdana" w:cs="Arial"/>
          <w:sz w:val="24"/>
          <w:szCs w:val="24"/>
        </w:rPr>
        <w:t>the EASC Annual Governance Statement 2019-2020</w:t>
      </w:r>
    </w:p>
    <w:p w:rsidR="00A16D15" w:rsidRDefault="00A16D15" w:rsidP="007C50BE">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the EASC Management Group Annual Report for 2019-2020 and the Terms of Reference</w:t>
      </w:r>
    </w:p>
    <w:p w:rsidR="00A16D15" w:rsidRDefault="00A16D15" w:rsidP="007C50BE">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the NEPTS DAG Annual Report for 2019-2020 and the Terms of Reference</w:t>
      </w:r>
      <w:r w:rsidR="00C77952">
        <w:rPr>
          <w:rFonts w:ascii="Verdana" w:hAnsi="Verdana" w:cs="Arial"/>
          <w:sz w:val="24"/>
          <w:szCs w:val="24"/>
        </w:rPr>
        <w:t xml:space="preserve"> and </w:t>
      </w:r>
      <w:r w:rsidR="00C77952" w:rsidRPr="00C77952">
        <w:rPr>
          <w:rFonts w:ascii="Verdana" w:hAnsi="Verdana" w:cs="Arial"/>
          <w:b/>
          <w:sz w:val="24"/>
          <w:szCs w:val="24"/>
        </w:rPr>
        <w:t>NOTE</w:t>
      </w:r>
      <w:r w:rsidR="00C77952">
        <w:rPr>
          <w:rFonts w:ascii="Verdana" w:hAnsi="Verdana" w:cs="Arial"/>
          <w:b/>
          <w:sz w:val="24"/>
          <w:szCs w:val="24"/>
        </w:rPr>
        <w:t xml:space="preserve"> </w:t>
      </w:r>
      <w:r w:rsidR="00C77952">
        <w:rPr>
          <w:rFonts w:ascii="Verdana" w:hAnsi="Verdana" w:cs="Arial"/>
          <w:sz w:val="24"/>
          <w:szCs w:val="24"/>
        </w:rPr>
        <w:t>the Internal Audit Report.</w:t>
      </w:r>
    </w:p>
    <w:p w:rsidR="007C50BE" w:rsidRPr="007C50BE" w:rsidRDefault="001A1248" w:rsidP="001C4D2F">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RATIFY</w:t>
      </w:r>
      <w:r w:rsidR="00A16D15" w:rsidRPr="001A1248">
        <w:rPr>
          <w:rFonts w:ascii="Verdana" w:hAnsi="Verdana" w:cs="Arial"/>
          <w:b/>
          <w:sz w:val="24"/>
          <w:szCs w:val="24"/>
        </w:rPr>
        <w:t xml:space="preserve"> </w:t>
      </w:r>
      <w:r w:rsidR="00A16D15" w:rsidRPr="001A1248">
        <w:rPr>
          <w:rFonts w:ascii="Verdana" w:hAnsi="Verdana" w:cs="Arial"/>
          <w:sz w:val="24"/>
          <w:szCs w:val="24"/>
        </w:rPr>
        <w:t>the EMRTS Hosted Bodies Annual Report for 2019-2020</w:t>
      </w:r>
      <w:r w:rsidR="007C50BE" w:rsidRPr="001A1248">
        <w:rPr>
          <w:rFonts w:ascii="Verdana" w:hAnsi="Verdana" w:cs="Arial"/>
          <w:sz w:val="24"/>
          <w:szCs w:val="24"/>
        </w:rPr>
        <w:t>.</w:t>
      </w:r>
    </w:p>
    <w:sectPr w:rsidR="007C50BE" w:rsidRPr="007C50BE"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1750A0">
          <w:pPr>
            <w:pStyle w:val="Footer"/>
            <w:rPr>
              <w:rFonts w:ascii="Verdana" w:hAnsi="Verdana"/>
              <w:b/>
              <w:sz w:val="18"/>
              <w:szCs w:val="20"/>
            </w:rPr>
          </w:pPr>
          <w:r>
            <w:rPr>
              <w:rFonts w:ascii="Verdana" w:hAnsi="Verdana"/>
              <w:b/>
              <w:sz w:val="18"/>
              <w:szCs w:val="20"/>
            </w:rPr>
            <w:t>Demand and Capacity</w:t>
          </w:r>
        </w:p>
      </w:tc>
      <w:tc>
        <w:tcPr>
          <w:tcW w:w="1980" w:type="dxa"/>
        </w:tcPr>
        <w:p w:rsidR="00344184" w:rsidRPr="00933C80" w:rsidRDefault="001A1248"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1750A0" w:rsidP="00344184">
          <w:pPr>
            <w:pStyle w:val="Footer"/>
            <w:jc w:val="right"/>
            <w:rPr>
              <w:rFonts w:ascii="Verdana" w:hAnsi="Verdana"/>
              <w:b/>
              <w:sz w:val="18"/>
              <w:szCs w:val="20"/>
            </w:rPr>
          </w:pPr>
          <w:r>
            <w:rPr>
              <w:rFonts w:ascii="Verdana" w:hAnsi="Verdana"/>
              <w:b/>
              <w:sz w:val="18"/>
              <w:szCs w:val="20"/>
            </w:rPr>
            <w:t>28 January</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6"/>
  </w:num>
  <w:num w:numId="2">
    <w:abstractNumId w:val="22"/>
  </w:num>
  <w:num w:numId="3">
    <w:abstractNumId w:val="19"/>
  </w:num>
  <w:num w:numId="4">
    <w:abstractNumId w:val="18"/>
  </w:num>
  <w:num w:numId="5">
    <w:abstractNumId w:val="7"/>
  </w:num>
  <w:num w:numId="6">
    <w:abstractNumId w:val="4"/>
  </w:num>
  <w:num w:numId="7">
    <w:abstractNumId w:val="8"/>
  </w:num>
  <w:num w:numId="8">
    <w:abstractNumId w:val="5"/>
  </w:num>
  <w:num w:numId="9">
    <w:abstractNumId w:val="1"/>
  </w:num>
  <w:num w:numId="10">
    <w:abstractNumId w:val="15"/>
  </w:num>
  <w:num w:numId="11">
    <w:abstractNumId w:val="2"/>
  </w:num>
  <w:num w:numId="12">
    <w:abstractNumId w:val="17"/>
  </w:num>
  <w:num w:numId="13">
    <w:abstractNumId w:val="9"/>
  </w:num>
  <w:num w:numId="14">
    <w:abstractNumId w:val="12"/>
  </w:num>
  <w:num w:numId="15">
    <w:abstractNumId w:val="0"/>
  </w:num>
  <w:num w:numId="16">
    <w:abstractNumId w:val="3"/>
  </w:num>
  <w:num w:numId="17">
    <w:abstractNumId w:val="16"/>
  </w:num>
  <w:num w:numId="18">
    <w:abstractNumId w:val="10"/>
  </w:num>
  <w:num w:numId="19">
    <w:abstractNumId w:val="21"/>
  </w:num>
  <w:num w:numId="20">
    <w:abstractNumId w:val="11"/>
  </w:num>
  <w:num w:numId="21">
    <w:abstractNumId w:val="13"/>
  </w:num>
  <w:num w:numId="22">
    <w:abstractNumId w:val="20"/>
  </w:num>
  <w:num w:numId="23">
    <w:abstractNumId w:val="23"/>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4C3"/>
    <w:rsid w:val="00004D9F"/>
    <w:rsid w:val="000061AE"/>
    <w:rsid w:val="0003001C"/>
    <w:rsid w:val="00034B97"/>
    <w:rsid w:val="00063FCF"/>
    <w:rsid w:val="000804F4"/>
    <w:rsid w:val="00081198"/>
    <w:rsid w:val="00082004"/>
    <w:rsid w:val="00097B17"/>
    <w:rsid w:val="000A14EC"/>
    <w:rsid w:val="000B4302"/>
    <w:rsid w:val="000C1B75"/>
    <w:rsid w:val="000C6EAC"/>
    <w:rsid w:val="000D248E"/>
    <w:rsid w:val="001041A8"/>
    <w:rsid w:val="001468E1"/>
    <w:rsid w:val="001507F6"/>
    <w:rsid w:val="001750A0"/>
    <w:rsid w:val="0019519C"/>
    <w:rsid w:val="001A1248"/>
    <w:rsid w:val="001B439D"/>
    <w:rsid w:val="001D08F5"/>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00E1E"/>
    <w:rsid w:val="0041542C"/>
    <w:rsid w:val="0046035B"/>
    <w:rsid w:val="00463B6C"/>
    <w:rsid w:val="00493CD8"/>
    <w:rsid w:val="004A1B43"/>
    <w:rsid w:val="004B1B0B"/>
    <w:rsid w:val="004C7B5E"/>
    <w:rsid w:val="004D4D0B"/>
    <w:rsid w:val="004F3890"/>
    <w:rsid w:val="0050158E"/>
    <w:rsid w:val="005069A7"/>
    <w:rsid w:val="00510740"/>
    <w:rsid w:val="00547FA5"/>
    <w:rsid w:val="00577535"/>
    <w:rsid w:val="005802A6"/>
    <w:rsid w:val="005848A6"/>
    <w:rsid w:val="00594A95"/>
    <w:rsid w:val="005A0836"/>
    <w:rsid w:val="005A0E27"/>
    <w:rsid w:val="005C0676"/>
    <w:rsid w:val="005E14D3"/>
    <w:rsid w:val="005F08E9"/>
    <w:rsid w:val="005F7CB1"/>
    <w:rsid w:val="00612035"/>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9542C"/>
    <w:rsid w:val="007B2F89"/>
    <w:rsid w:val="007C0506"/>
    <w:rsid w:val="007C2422"/>
    <w:rsid w:val="007C50BE"/>
    <w:rsid w:val="007D0B6E"/>
    <w:rsid w:val="007D3C6E"/>
    <w:rsid w:val="007F0937"/>
    <w:rsid w:val="00816502"/>
    <w:rsid w:val="00822A00"/>
    <w:rsid w:val="0083034D"/>
    <w:rsid w:val="00835124"/>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3C12"/>
    <w:rsid w:val="009B6215"/>
    <w:rsid w:val="00A16D15"/>
    <w:rsid w:val="00A3172B"/>
    <w:rsid w:val="00A51464"/>
    <w:rsid w:val="00A72602"/>
    <w:rsid w:val="00A839D2"/>
    <w:rsid w:val="00A8686B"/>
    <w:rsid w:val="00B03E75"/>
    <w:rsid w:val="00B05FE3"/>
    <w:rsid w:val="00B13916"/>
    <w:rsid w:val="00B13942"/>
    <w:rsid w:val="00B276ED"/>
    <w:rsid w:val="00B33FC6"/>
    <w:rsid w:val="00B6264F"/>
    <w:rsid w:val="00B62DCA"/>
    <w:rsid w:val="00BA0224"/>
    <w:rsid w:val="00BA1AF1"/>
    <w:rsid w:val="00BF121C"/>
    <w:rsid w:val="00C41AFC"/>
    <w:rsid w:val="00C45E2D"/>
    <w:rsid w:val="00C52F2D"/>
    <w:rsid w:val="00C77952"/>
    <w:rsid w:val="00CA374F"/>
    <w:rsid w:val="00CB7D49"/>
    <w:rsid w:val="00CC6203"/>
    <w:rsid w:val="00CE2C60"/>
    <w:rsid w:val="00D03A9E"/>
    <w:rsid w:val="00D149FF"/>
    <w:rsid w:val="00D221CF"/>
    <w:rsid w:val="00D227B8"/>
    <w:rsid w:val="00D50D29"/>
    <w:rsid w:val="00D531C1"/>
    <w:rsid w:val="00D81EAE"/>
    <w:rsid w:val="00D90235"/>
    <w:rsid w:val="00DA7EF2"/>
    <w:rsid w:val="00DB7FCB"/>
    <w:rsid w:val="00DC0AB8"/>
    <w:rsid w:val="00DC3B4C"/>
    <w:rsid w:val="00E23B12"/>
    <w:rsid w:val="00E355DB"/>
    <w:rsid w:val="00E35663"/>
    <w:rsid w:val="00E37D85"/>
    <w:rsid w:val="00E55D6E"/>
    <w:rsid w:val="00E63380"/>
    <w:rsid w:val="00E65705"/>
    <w:rsid w:val="00E90D9F"/>
    <w:rsid w:val="00E961C0"/>
    <w:rsid w:val="00EA5DB5"/>
    <w:rsid w:val="00EA7C24"/>
    <w:rsid w:val="00EC35CA"/>
    <w:rsid w:val="00EC6275"/>
    <w:rsid w:val="00EE3AC4"/>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www.w3.org/XML/1998/namespace"/>
    <ds:schemaRef ds:uri="177bb0a3-dcc7-4901-83ce-2bae23594b2a"/>
    <ds:schemaRef ds:uri="http://schemas.microsoft.com/office/2006/documentManagement/types"/>
    <ds:schemaRef ds:uri="http://schemas.openxmlformats.org/package/2006/metadata/core-properties"/>
    <ds:schemaRef ds:uri="http://schemas.microsoft.com/office/2006/metadata/properties"/>
    <ds:schemaRef ds:uri="http://schemas.microsoft.com/office/infopath/2007/PartnerControls"/>
    <ds:schemaRef ds:uri="http://purl.org/dc/terms/"/>
    <ds:schemaRef ds:uri="http://purl.org/dc/dcmitype/"/>
    <ds:schemaRef ds:uri="http://purl.org/dc/elements/1.1/"/>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57E1DD-4075-461A-9D7D-6CB401EFE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TotalTime>
  <Pages>5</Pages>
  <Words>1206</Words>
  <Characters>6877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8</cp:revision>
  <cp:lastPrinted>2018-09-26T14:48:00Z</cp:lastPrinted>
  <dcterms:created xsi:type="dcterms:W3CDTF">2020-07-07T14:58:00Z</dcterms:created>
  <dcterms:modified xsi:type="dcterms:W3CDTF">2020-07-08T19:25:00Z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