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28"/>
        <w:gridCol w:w="4370"/>
      </w:tblGrid>
      <w:tr w:rsidR="001E3526" w:rsidRPr="00ED1D2D" w:rsidTr="004D70F0">
        <w:trPr>
          <w:trHeight w:val="1266"/>
        </w:trPr>
        <w:tc>
          <w:tcPr>
            <w:tcW w:w="4928" w:type="dxa"/>
          </w:tcPr>
          <w:p w:rsidR="001E3526" w:rsidRPr="00ED1D2D" w:rsidRDefault="00F8110C" w:rsidP="003F3DEA">
            <w:pPr>
              <w:jc w:val="center"/>
              <w:rPr>
                <w:rFonts w:ascii="Verdana" w:hAnsi="Verdana" w:cs="Arial"/>
                <w:sz w:val="24"/>
              </w:rPr>
            </w:pPr>
            <w:r w:rsidRPr="00ED1D2D">
              <w:rPr>
                <w:rFonts w:ascii="Verdana" w:hAnsi="Verdana"/>
                <w:b/>
                <w:noProof/>
              </w:rPr>
              <w:drawing>
                <wp:inline distT="0" distB="0" distL="0" distR="0">
                  <wp:extent cx="2933700" cy="742950"/>
                  <wp:effectExtent l="1905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a:srcRect/>
                          <a:stretch>
                            <a:fillRect/>
                          </a:stretch>
                        </pic:blipFill>
                        <pic:spPr bwMode="auto">
                          <a:xfrm>
                            <a:off x="0" y="0"/>
                            <a:ext cx="2933700" cy="742950"/>
                          </a:xfrm>
                          <a:prstGeom prst="rect">
                            <a:avLst/>
                          </a:prstGeom>
                          <a:noFill/>
                          <a:ln w="9525">
                            <a:noFill/>
                            <a:miter lim="800000"/>
                            <a:headEnd/>
                            <a:tailEnd/>
                          </a:ln>
                        </pic:spPr>
                      </pic:pic>
                    </a:graphicData>
                  </a:graphic>
                </wp:inline>
              </w:drawing>
            </w:r>
          </w:p>
        </w:tc>
        <w:tc>
          <w:tcPr>
            <w:tcW w:w="4370" w:type="dxa"/>
          </w:tcPr>
          <w:p w:rsidR="001E3526" w:rsidRPr="00ED1D2D" w:rsidRDefault="001E3526" w:rsidP="007D6D7A">
            <w:pPr>
              <w:spacing w:before="120"/>
              <w:jc w:val="right"/>
              <w:rPr>
                <w:rFonts w:ascii="Verdana" w:hAnsi="Verdana" w:cs="Arial"/>
                <w:b/>
                <w:sz w:val="24"/>
              </w:rPr>
            </w:pPr>
            <w:r w:rsidRPr="00ED1D2D">
              <w:rPr>
                <w:rFonts w:ascii="Verdana" w:hAnsi="Verdana" w:cs="Arial"/>
                <w:b/>
                <w:sz w:val="24"/>
              </w:rPr>
              <w:t>AGENDA ITEM</w:t>
            </w:r>
            <w:r w:rsidR="002966D2">
              <w:rPr>
                <w:rFonts w:ascii="Verdana" w:hAnsi="Verdana" w:cs="Arial"/>
                <w:b/>
                <w:sz w:val="24"/>
              </w:rPr>
              <w:t xml:space="preserve"> 2.3</w:t>
            </w:r>
            <w:r w:rsidR="00291BBD">
              <w:rPr>
                <w:rFonts w:ascii="Verdana" w:hAnsi="Verdana" w:cs="Arial"/>
                <w:b/>
                <w:sz w:val="24"/>
              </w:rPr>
              <w:t xml:space="preserve"> </w:t>
            </w:r>
            <w:r w:rsidRPr="00ED1D2D">
              <w:rPr>
                <w:rFonts w:ascii="Verdana" w:hAnsi="Verdana" w:cs="Arial"/>
                <w:b/>
                <w:sz w:val="24"/>
              </w:rPr>
              <w:t xml:space="preserve">    </w:t>
            </w:r>
          </w:p>
          <w:p w:rsidR="001E3526" w:rsidRDefault="001E3526" w:rsidP="00A35ED8">
            <w:pPr>
              <w:jc w:val="right"/>
              <w:rPr>
                <w:rFonts w:ascii="Verdana" w:hAnsi="Verdana" w:cs="Arial"/>
                <w:b/>
                <w:sz w:val="24"/>
              </w:rPr>
            </w:pPr>
          </w:p>
          <w:p w:rsidR="001E3526" w:rsidRPr="00ED1D2D" w:rsidRDefault="0011690E" w:rsidP="00D05391">
            <w:pPr>
              <w:jc w:val="right"/>
              <w:rPr>
                <w:rFonts w:ascii="Verdana" w:hAnsi="Verdana" w:cs="Arial"/>
                <w:sz w:val="24"/>
              </w:rPr>
            </w:pPr>
            <w:r>
              <w:rPr>
                <w:rFonts w:ascii="Verdana" w:hAnsi="Verdana" w:cs="Arial"/>
                <w:b/>
                <w:sz w:val="24"/>
              </w:rPr>
              <w:t>26 March</w:t>
            </w:r>
            <w:r w:rsidR="00ED45D5">
              <w:rPr>
                <w:rFonts w:ascii="Verdana" w:hAnsi="Verdana" w:cs="Arial"/>
                <w:b/>
                <w:sz w:val="24"/>
              </w:rPr>
              <w:t xml:space="preserve"> 2019</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877D27">
        <w:trPr>
          <w:trHeight w:val="425"/>
        </w:trPr>
        <w:tc>
          <w:tcPr>
            <w:tcW w:w="9288" w:type="dxa"/>
            <w:shd w:val="clear" w:color="auto" w:fill="E6E6E6"/>
          </w:tcPr>
          <w:p w:rsidR="001E3526" w:rsidRPr="00ED1D2D" w:rsidRDefault="001E3526" w:rsidP="000F65E7">
            <w:pPr>
              <w:jc w:val="center"/>
              <w:rPr>
                <w:rFonts w:ascii="Verdana" w:hAnsi="Verdana" w:cs="Arial"/>
                <w:b/>
                <w:sz w:val="24"/>
              </w:rPr>
            </w:pPr>
            <w:r w:rsidRPr="00ED1D2D">
              <w:rPr>
                <w:rFonts w:ascii="Verdana" w:hAnsi="Verdana" w:cs="Arial"/>
                <w:b/>
                <w:sz w:val="24"/>
              </w:rPr>
              <w:t>Emergency Ambulance Services Committee Report</w:t>
            </w:r>
          </w:p>
        </w:tc>
      </w:tr>
      <w:tr w:rsidR="001E3526" w:rsidRPr="00ED1D2D" w:rsidTr="00877D27">
        <w:trPr>
          <w:trHeight w:val="425"/>
        </w:trPr>
        <w:tc>
          <w:tcPr>
            <w:tcW w:w="9288" w:type="dxa"/>
          </w:tcPr>
          <w:p w:rsidR="002966D2" w:rsidRDefault="002966D2" w:rsidP="00F02F36">
            <w:pPr>
              <w:jc w:val="center"/>
              <w:rPr>
                <w:rFonts w:ascii="Verdana" w:hAnsi="Verdana"/>
                <w:b/>
                <w:sz w:val="24"/>
              </w:rPr>
            </w:pPr>
          </w:p>
          <w:p w:rsidR="001E3526" w:rsidRPr="00F02F36" w:rsidRDefault="002966D2" w:rsidP="00F02F36">
            <w:pPr>
              <w:jc w:val="center"/>
              <w:rPr>
                <w:rFonts w:ascii="Verdana" w:hAnsi="Verdana" w:cs="Arial"/>
                <w:b/>
                <w:sz w:val="24"/>
              </w:rPr>
            </w:pPr>
            <w:r>
              <w:rPr>
                <w:rFonts w:ascii="Verdana" w:hAnsi="Verdana"/>
                <w:b/>
                <w:sz w:val="24"/>
              </w:rPr>
              <w:t>P</w:t>
            </w:r>
            <w:r w:rsidRPr="00F02F36">
              <w:rPr>
                <w:rFonts w:ascii="Verdana" w:hAnsi="Verdana"/>
                <w:b/>
                <w:sz w:val="24"/>
              </w:rPr>
              <w:t xml:space="preserve">ROPOSED USE OF THE 1% </w:t>
            </w:r>
            <w:r>
              <w:rPr>
                <w:rFonts w:ascii="Verdana" w:hAnsi="Verdana"/>
                <w:b/>
                <w:sz w:val="24"/>
              </w:rPr>
              <w:t xml:space="preserve">‘A </w:t>
            </w:r>
            <w:r w:rsidRPr="00F02F36">
              <w:rPr>
                <w:rFonts w:ascii="Verdana" w:hAnsi="Verdana"/>
                <w:b/>
                <w:sz w:val="24"/>
              </w:rPr>
              <w:t>HEALTHIER WALES</w:t>
            </w:r>
            <w:r>
              <w:rPr>
                <w:rFonts w:ascii="Verdana" w:hAnsi="Verdana"/>
                <w:b/>
                <w:sz w:val="24"/>
              </w:rPr>
              <w:t>’</w:t>
            </w:r>
            <w:r w:rsidRPr="00F02F36">
              <w:rPr>
                <w:rFonts w:ascii="Verdana" w:hAnsi="Verdana"/>
                <w:b/>
                <w:sz w:val="24"/>
              </w:rPr>
              <w:t xml:space="preserve"> FUNDING COMMISSIONING ALLOCATION FOR</w:t>
            </w:r>
            <w:r>
              <w:rPr>
                <w:rFonts w:ascii="Verdana" w:hAnsi="Verdana"/>
                <w:b/>
                <w:sz w:val="24"/>
              </w:rPr>
              <w:t xml:space="preserve"> THE WELSH AMBULANCES SERVICES NHS TRUST</w:t>
            </w:r>
            <w:r w:rsidRPr="00F02F36">
              <w:rPr>
                <w:rFonts w:ascii="Verdana" w:hAnsi="Verdana"/>
                <w:b/>
                <w:sz w:val="24"/>
              </w:rPr>
              <w:t xml:space="preserve"> </w:t>
            </w:r>
            <w:r>
              <w:rPr>
                <w:rFonts w:ascii="Verdana" w:hAnsi="Verdana"/>
                <w:b/>
                <w:sz w:val="24"/>
              </w:rPr>
              <w:t>(</w:t>
            </w:r>
            <w:r w:rsidRPr="00F02F36">
              <w:rPr>
                <w:rFonts w:ascii="Verdana" w:hAnsi="Verdana"/>
                <w:b/>
                <w:sz w:val="24"/>
              </w:rPr>
              <w:t>WAST</w:t>
            </w:r>
            <w:r>
              <w:rPr>
                <w:rFonts w:ascii="Verdana" w:hAnsi="Verdana"/>
                <w:b/>
                <w:sz w:val="24"/>
              </w:rPr>
              <w:t>)</w:t>
            </w:r>
          </w:p>
          <w:p w:rsidR="001E3526" w:rsidRPr="00ED1D2D" w:rsidRDefault="001E3526" w:rsidP="00C10A11">
            <w:pPr>
              <w:jc w:val="center"/>
              <w:rPr>
                <w:rFonts w:ascii="Verdana" w:hAnsi="Verdana" w:cs="Arial"/>
                <w:sz w:val="24"/>
              </w:rPr>
            </w:pP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E33ACD">
        <w:trPr>
          <w:trHeight w:val="437"/>
        </w:trPr>
        <w:tc>
          <w:tcPr>
            <w:tcW w:w="9288" w:type="dxa"/>
          </w:tcPr>
          <w:p w:rsidR="001E3526" w:rsidRPr="00ED1D2D" w:rsidRDefault="001E3526" w:rsidP="00C10A11">
            <w:pPr>
              <w:rPr>
                <w:rFonts w:ascii="Verdana" w:hAnsi="Verdana" w:cs="Arial"/>
              </w:rPr>
            </w:pPr>
            <w:r w:rsidRPr="00ED1D2D">
              <w:rPr>
                <w:rFonts w:ascii="Verdana" w:hAnsi="Verdana" w:cs="Arial"/>
                <w:b/>
                <w:bCs/>
                <w:sz w:val="24"/>
              </w:rPr>
              <w:t xml:space="preserve">Executive Lead:  </w:t>
            </w:r>
            <w:r w:rsidR="00C10A11" w:rsidRPr="00C10A11">
              <w:rPr>
                <w:rFonts w:ascii="Verdana" w:hAnsi="Verdana" w:cs="Arial"/>
                <w:bCs/>
                <w:sz w:val="24"/>
              </w:rPr>
              <w:t>Direct</w:t>
            </w:r>
            <w:r w:rsidR="00C10A11">
              <w:rPr>
                <w:rFonts w:ascii="Verdana" w:hAnsi="Verdana" w:cs="Arial"/>
                <w:bCs/>
                <w:sz w:val="24"/>
              </w:rPr>
              <w:t>or of National Collaborative Co</w:t>
            </w:r>
            <w:r w:rsidR="00C10A11" w:rsidRPr="00C10A11">
              <w:rPr>
                <w:rFonts w:ascii="Verdana" w:hAnsi="Verdana" w:cs="Arial"/>
                <w:bCs/>
                <w:sz w:val="24"/>
              </w:rPr>
              <w:t>mmissioning</w:t>
            </w:r>
          </w:p>
        </w:tc>
      </w:tr>
      <w:tr w:rsidR="001E3526" w:rsidRPr="00ED1D2D" w:rsidTr="00E33ACD">
        <w:trPr>
          <w:trHeight w:val="402"/>
        </w:trPr>
        <w:tc>
          <w:tcPr>
            <w:tcW w:w="9288" w:type="dxa"/>
          </w:tcPr>
          <w:p w:rsidR="001E3526" w:rsidRPr="00ED1D2D" w:rsidRDefault="001E3526" w:rsidP="00C10A11">
            <w:pPr>
              <w:rPr>
                <w:rFonts w:ascii="Verdana" w:hAnsi="Verdana" w:cs="Arial"/>
                <w:sz w:val="24"/>
              </w:rPr>
            </w:pPr>
            <w:r w:rsidRPr="00ED1D2D">
              <w:rPr>
                <w:rFonts w:ascii="Verdana" w:hAnsi="Verdana" w:cs="Arial"/>
                <w:b/>
                <w:bCs/>
                <w:sz w:val="24"/>
              </w:rPr>
              <w:t xml:space="preserve">Author: </w:t>
            </w:r>
            <w:r w:rsidR="00C10A11" w:rsidRPr="00C10A11">
              <w:rPr>
                <w:rFonts w:ascii="Verdana" w:hAnsi="Verdana" w:cs="Arial"/>
                <w:bCs/>
                <w:sz w:val="24"/>
              </w:rPr>
              <w:t>Direct</w:t>
            </w:r>
            <w:r w:rsidR="00C10A11">
              <w:rPr>
                <w:rFonts w:ascii="Verdana" w:hAnsi="Verdana" w:cs="Arial"/>
                <w:bCs/>
                <w:sz w:val="24"/>
              </w:rPr>
              <w:t>or of National Collaborative Co</w:t>
            </w:r>
            <w:r w:rsidR="00C10A11" w:rsidRPr="00C10A11">
              <w:rPr>
                <w:rFonts w:ascii="Verdana" w:hAnsi="Verdana" w:cs="Arial"/>
                <w:bCs/>
                <w:sz w:val="24"/>
              </w:rPr>
              <w:t>mmissioning</w:t>
            </w:r>
          </w:p>
        </w:tc>
      </w:tr>
      <w:tr w:rsidR="001E3526" w:rsidRPr="00ED1D2D" w:rsidTr="00877D27">
        <w:trPr>
          <w:trHeight w:val="425"/>
        </w:trPr>
        <w:tc>
          <w:tcPr>
            <w:tcW w:w="9288" w:type="dxa"/>
          </w:tcPr>
          <w:p w:rsidR="001E3526" w:rsidRPr="00ED1D2D" w:rsidRDefault="001E3526" w:rsidP="00662ADB">
            <w:pPr>
              <w:rPr>
                <w:rFonts w:ascii="Verdana" w:hAnsi="Verdana" w:cs="Arial"/>
                <w:b/>
                <w:bCs/>
                <w:sz w:val="24"/>
              </w:rPr>
            </w:pPr>
            <w:r w:rsidRPr="00ED1D2D">
              <w:rPr>
                <w:rFonts w:ascii="Verdana" w:hAnsi="Verdana" w:cs="Arial"/>
                <w:b/>
                <w:bCs/>
                <w:sz w:val="24"/>
              </w:rPr>
              <w:t xml:space="preserve">Contact Details for further information: </w:t>
            </w:r>
            <w:hyperlink r:id="rId9" w:history="1">
              <w:r w:rsidR="00C10A11" w:rsidRPr="003F286E">
                <w:rPr>
                  <w:rStyle w:val="Hyperlink"/>
                  <w:rFonts w:ascii="Verdana" w:hAnsi="Verdana" w:cs="Arial"/>
                  <w:bCs/>
                  <w:sz w:val="24"/>
                </w:rPr>
                <w:t>Julian.baker@wales.nhs.uk</w:t>
              </w:r>
            </w:hyperlink>
            <w:r w:rsidR="00662ADB" w:rsidRPr="00ED1D2D">
              <w:rPr>
                <w:rFonts w:ascii="Verdana" w:hAnsi="Verdana" w:cs="Arial"/>
                <w:bCs/>
                <w:sz w:val="24"/>
              </w:rPr>
              <w:t xml:space="preserve"> 01443 74494</w:t>
            </w:r>
            <w:r w:rsidR="00C10A11">
              <w:rPr>
                <w:rFonts w:ascii="Verdana" w:hAnsi="Verdana" w:cs="Arial"/>
                <w:bCs/>
                <w:sz w:val="24"/>
              </w:rPr>
              <w:t>7</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877D27">
        <w:trPr>
          <w:trHeight w:val="425"/>
        </w:trPr>
        <w:tc>
          <w:tcPr>
            <w:tcW w:w="9288" w:type="dxa"/>
            <w:shd w:val="clear" w:color="auto" w:fill="E6E6E6"/>
          </w:tcPr>
          <w:p w:rsidR="001E3526" w:rsidRPr="00ED1D2D" w:rsidRDefault="001E3526" w:rsidP="000F65E7">
            <w:pPr>
              <w:rPr>
                <w:rFonts w:ascii="Verdana" w:hAnsi="Verdana" w:cs="Arial"/>
                <w:b/>
                <w:sz w:val="24"/>
              </w:rPr>
            </w:pPr>
            <w:r w:rsidRPr="00ED1D2D">
              <w:rPr>
                <w:rFonts w:ascii="Verdana" w:hAnsi="Verdana" w:cs="Arial"/>
                <w:b/>
                <w:sz w:val="24"/>
              </w:rPr>
              <w:t>Purpose of the Emergency Ambulance Services Committee Report</w:t>
            </w:r>
          </w:p>
        </w:tc>
      </w:tr>
      <w:tr w:rsidR="001E3526" w:rsidRPr="00ED1D2D" w:rsidTr="00877D27">
        <w:trPr>
          <w:trHeight w:val="425"/>
        </w:trPr>
        <w:tc>
          <w:tcPr>
            <w:tcW w:w="9288" w:type="dxa"/>
          </w:tcPr>
          <w:p w:rsidR="001E3526" w:rsidRPr="00ED1D2D" w:rsidRDefault="001E3526" w:rsidP="002966D2">
            <w:pPr>
              <w:jc w:val="both"/>
              <w:rPr>
                <w:rFonts w:ascii="Verdana" w:hAnsi="Verdana" w:cs="Arial"/>
                <w:color w:val="000000"/>
                <w:sz w:val="24"/>
              </w:rPr>
            </w:pPr>
            <w:r w:rsidRPr="00ED1D2D">
              <w:rPr>
                <w:rFonts w:ascii="Verdana" w:hAnsi="Verdana" w:cs="Arial"/>
                <w:sz w:val="24"/>
              </w:rPr>
              <w:t xml:space="preserve">The purpose of this report is for the Committee to receive </w:t>
            </w:r>
            <w:r w:rsidR="002966D2">
              <w:rPr>
                <w:rFonts w:ascii="Verdana" w:hAnsi="Verdana" w:cs="Arial"/>
                <w:sz w:val="24"/>
              </w:rPr>
              <w:t>information</w:t>
            </w:r>
            <w:r w:rsidR="00C10A11">
              <w:rPr>
                <w:rFonts w:ascii="Verdana" w:hAnsi="Verdana" w:cs="Arial"/>
                <w:sz w:val="24"/>
              </w:rPr>
              <w:t xml:space="preserve"> for discussion and </w:t>
            </w:r>
            <w:r w:rsidR="002966D2">
              <w:rPr>
                <w:rFonts w:ascii="Verdana" w:hAnsi="Verdana" w:cs="Arial"/>
                <w:sz w:val="24"/>
              </w:rPr>
              <w:t xml:space="preserve">requesting </w:t>
            </w:r>
            <w:r w:rsidR="00C10A11">
              <w:rPr>
                <w:rFonts w:ascii="Verdana" w:hAnsi="Verdana" w:cs="Arial"/>
                <w:sz w:val="24"/>
              </w:rPr>
              <w:t xml:space="preserve">approval of the use of the 1% commissioning allocation </w:t>
            </w:r>
            <w:r w:rsidR="002966D2">
              <w:rPr>
                <w:rFonts w:ascii="Verdana" w:hAnsi="Verdana" w:cs="Arial"/>
                <w:sz w:val="24"/>
              </w:rPr>
              <w:t>in line with the intention of ‘A Healthier Wales’</w:t>
            </w:r>
            <w:r w:rsidRPr="00ED1D2D">
              <w:rPr>
                <w:rFonts w:ascii="Verdana" w:hAnsi="Verdana" w:cs="Arial"/>
                <w:sz w:val="24"/>
              </w:rPr>
              <w:t>.</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74"/>
        <w:gridCol w:w="540"/>
        <w:gridCol w:w="72"/>
        <w:gridCol w:w="1586"/>
        <w:gridCol w:w="512"/>
        <w:gridCol w:w="1929"/>
        <w:gridCol w:w="529"/>
        <w:gridCol w:w="1132"/>
        <w:gridCol w:w="529"/>
        <w:gridCol w:w="11"/>
      </w:tblGrid>
      <w:tr w:rsidR="001E3526" w:rsidRPr="00ED1D2D" w:rsidTr="00E82F3E">
        <w:trPr>
          <w:gridAfter w:val="1"/>
          <w:wAfter w:w="11" w:type="dxa"/>
          <w:trHeight w:val="425"/>
        </w:trPr>
        <w:tc>
          <w:tcPr>
            <w:tcW w:w="9277" w:type="dxa"/>
            <w:gridSpan w:val="10"/>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Governance</w:t>
            </w:r>
          </w:p>
        </w:tc>
      </w:tr>
      <w:tr w:rsidR="001E3526" w:rsidRPr="00ED1D2D" w:rsidTr="00E82F3E">
        <w:trPr>
          <w:gridAfter w:val="1"/>
          <w:wAfter w:w="11" w:type="dxa"/>
          <w:trHeight w:val="425"/>
        </w:trPr>
        <w:tc>
          <w:tcPr>
            <w:tcW w:w="2374" w:type="dxa"/>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Link to the Commissioning Agreement</w:t>
            </w:r>
          </w:p>
        </w:tc>
        <w:tc>
          <w:tcPr>
            <w:tcW w:w="6903" w:type="dxa"/>
            <w:gridSpan w:val="9"/>
          </w:tcPr>
          <w:p w:rsidR="001E3526" w:rsidRPr="00ED1D2D" w:rsidRDefault="001E3526" w:rsidP="00A35ED8">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‘Triple Aim’ are being progressed. </w:t>
            </w:r>
          </w:p>
          <w:p w:rsidR="001E3526" w:rsidRPr="00ED1D2D" w:rsidRDefault="001E3526" w:rsidP="00A35ED8">
            <w:pPr>
              <w:jc w:val="both"/>
              <w:rPr>
                <w:rFonts w:ascii="Verdana" w:hAnsi="Verdana" w:cs="Arial"/>
                <w:sz w:val="24"/>
              </w:rPr>
            </w:pPr>
          </w:p>
          <w:p w:rsidR="001E3526" w:rsidRPr="00ED1D2D" w:rsidRDefault="001E3526" w:rsidP="00982CB8">
            <w:pPr>
              <w:jc w:val="both"/>
              <w:rPr>
                <w:rFonts w:ascii="Verdana" w:hAnsi="Verdana" w:cs="Arial"/>
                <w:sz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 </w:t>
            </w:r>
          </w:p>
        </w:tc>
      </w:tr>
      <w:tr w:rsidR="001E3526" w:rsidRPr="00ED1D2D" w:rsidTr="00E82F3E">
        <w:trPr>
          <w:gridAfter w:val="1"/>
          <w:wAfter w:w="11" w:type="dxa"/>
          <w:trHeight w:val="425"/>
        </w:trPr>
        <w:tc>
          <w:tcPr>
            <w:tcW w:w="2374" w:type="dxa"/>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Supporting evidence</w:t>
            </w:r>
          </w:p>
        </w:tc>
        <w:tc>
          <w:tcPr>
            <w:tcW w:w="6903" w:type="dxa"/>
            <w:gridSpan w:val="9"/>
          </w:tcPr>
          <w:p w:rsidR="001E3526" w:rsidRPr="00ED1D2D" w:rsidRDefault="001E3526" w:rsidP="00FF24BE">
            <w:pPr>
              <w:jc w:val="both"/>
              <w:rPr>
                <w:rFonts w:ascii="Verdana" w:hAnsi="Verdana" w:cs="Arial"/>
                <w:sz w:val="24"/>
              </w:rPr>
            </w:pPr>
            <w:r w:rsidRPr="00ED1D2D">
              <w:rPr>
                <w:rFonts w:ascii="Verdana" w:hAnsi="Verdana" w:cs="Arial"/>
                <w:sz w:val="24"/>
              </w:rPr>
              <w:t xml:space="preserve">The development of this report has where appropriate been informed by updates provided through established governance processes.  </w:t>
            </w:r>
          </w:p>
          <w:p w:rsidR="001A59D9" w:rsidRPr="00ED1D2D" w:rsidRDefault="001A59D9" w:rsidP="00FF24BE">
            <w:pPr>
              <w:jc w:val="both"/>
              <w:rPr>
                <w:rFonts w:ascii="Verdana" w:hAnsi="Verdana" w:cs="Arial"/>
                <w:sz w:val="24"/>
              </w:rPr>
            </w:pPr>
          </w:p>
          <w:p w:rsidR="001E3526" w:rsidRPr="00ED1D2D" w:rsidRDefault="001E3526" w:rsidP="00FF24BE">
            <w:pPr>
              <w:jc w:val="both"/>
              <w:rPr>
                <w:rFonts w:ascii="Verdana" w:hAnsi="Verdana" w:cs="Arial"/>
                <w:sz w:val="24"/>
              </w:rPr>
            </w:pPr>
            <w:r w:rsidRPr="00ED1D2D">
              <w:rPr>
                <w:rFonts w:ascii="Verdana" w:hAnsi="Verdana" w:cs="Arial"/>
                <w:sz w:val="24"/>
              </w:rPr>
              <w:t xml:space="preserve">A number of the issues highlighted within the report are covered in more detail within the main agenda of the Committee meeting. </w:t>
            </w:r>
          </w:p>
        </w:tc>
      </w:tr>
      <w:tr w:rsidR="001E3526" w:rsidRPr="00ED1D2D" w:rsidTr="00E82F3E">
        <w:trPr>
          <w:trHeight w:val="425"/>
        </w:trPr>
        <w:tc>
          <w:tcPr>
            <w:tcW w:w="9288" w:type="dxa"/>
            <w:gridSpan w:val="11"/>
            <w:shd w:val="clear" w:color="auto" w:fill="E6E6E6"/>
          </w:tcPr>
          <w:p w:rsidR="001E3526" w:rsidRPr="00ED1D2D" w:rsidRDefault="001E3526" w:rsidP="00ED1D2D">
            <w:pPr>
              <w:tabs>
                <w:tab w:val="left" w:pos="7470"/>
              </w:tabs>
              <w:jc w:val="both"/>
              <w:rPr>
                <w:rFonts w:ascii="Verdana" w:hAnsi="Verdana" w:cs="Arial"/>
                <w:b/>
                <w:sz w:val="24"/>
              </w:rPr>
            </w:pPr>
            <w:r w:rsidRPr="00ED1D2D">
              <w:rPr>
                <w:rFonts w:ascii="Verdana" w:hAnsi="Verdana" w:cs="Arial"/>
                <w:b/>
                <w:sz w:val="24"/>
              </w:rPr>
              <w:t>Engagement – Who has been involved in this work?</w:t>
            </w:r>
            <w:r w:rsidR="00ED1D2D" w:rsidRPr="00ED1D2D">
              <w:rPr>
                <w:rFonts w:ascii="Verdana" w:hAnsi="Verdana" w:cs="Arial"/>
                <w:b/>
                <w:sz w:val="24"/>
              </w:rPr>
              <w:tab/>
            </w:r>
          </w:p>
        </w:tc>
      </w:tr>
      <w:tr w:rsidR="001E3526" w:rsidRPr="00ED1D2D" w:rsidTr="00E82F3E">
        <w:trPr>
          <w:trHeight w:val="425"/>
        </w:trPr>
        <w:tc>
          <w:tcPr>
            <w:tcW w:w="9288" w:type="dxa"/>
            <w:gridSpan w:val="11"/>
          </w:tcPr>
          <w:p w:rsidR="001E3526" w:rsidRPr="00ED1D2D" w:rsidRDefault="001E3526" w:rsidP="00877D27">
            <w:pPr>
              <w:jc w:val="both"/>
              <w:rPr>
                <w:rFonts w:ascii="Verdana" w:hAnsi="Verdana" w:cs="Arial"/>
                <w:sz w:val="24"/>
              </w:rPr>
            </w:pPr>
            <w:r w:rsidRPr="00ED1D2D">
              <w:rPr>
                <w:rFonts w:ascii="Verdana" w:hAnsi="Verdana" w:cs="Arial"/>
                <w:sz w:val="24"/>
              </w:rPr>
              <w:t xml:space="preserve">The Emergency Ambulance Services Commissioning Team has contributed to the development of information contained within this report.  </w:t>
            </w:r>
          </w:p>
        </w:tc>
      </w:tr>
      <w:tr w:rsidR="001E3526" w:rsidRPr="00ED1D2D" w:rsidTr="00877D27">
        <w:trPr>
          <w:trHeight w:val="425"/>
        </w:trPr>
        <w:tc>
          <w:tcPr>
            <w:tcW w:w="9288" w:type="dxa"/>
            <w:gridSpan w:val="11"/>
            <w:shd w:val="clear" w:color="auto" w:fill="E6E6E6"/>
          </w:tcPr>
          <w:p w:rsidR="001E3526" w:rsidRPr="00ED1D2D" w:rsidRDefault="001E3526" w:rsidP="003F3DEA">
            <w:pPr>
              <w:jc w:val="both"/>
              <w:rPr>
                <w:rFonts w:ascii="Verdana" w:hAnsi="Verdana" w:cs="Arial"/>
                <w:b/>
                <w:sz w:val="24"/>
              </w:rPr>
            </w:pPr>
            <w:r w:rsidRPr="00ED1D2D">
              <w:rPr>
                <w:rFonts w:ascii="Verdana" w:hAnsi="Verdana" w:cs="Arial"/>
                <w:b/>
                <w:sz w:val="24"/>
              </w:rPr>
              <w:lastRenderedPageBreak/>
              <w:t>Emergency Ambulance S</w:t>
            </w:r>
            <w:r w:rsidR="00E33ACD" w:rsidRPr="00ED1D2D">
              <w:rPr>
                <w:rFonts w:ascii="Verdana" w:hAnsi="Verdana" w:cs="Arial"/>
                <w:b/>
                <w:sz w:val="24"/>
              </w:rPr>
              <w:t xml:space="preserve">ervices Committee Resolution </w:t>
            </w:r>
            <w:r w:rsidR="00ED1D2D" w:rsidRPr="00ED1D2D">
              <w:rPr>
                <w:rFonts w:ascii="Verdana" w:hAnsi="Verdana" w:cs="Arial"/>
                <w:b/>
                <w:sz w:val="24"/>
              </w:rPr>
              <w:t>to:</w:t>
            </w:r>
          </w:p>
        </w:tc>
      </w:tr>
      <w:tr w:rsidR="001E3526" w:rsidRPr="00ED1D2D" w:rsidTr="00877D27">
        <w:trPr>
          <w:trHeight w:val="425"/>
        </w:trPr>
        <w:tc>
          <w:tcPr>
            <w:tcW w:w="2448"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APPROVE</w:t>
            </w:r>
          </w:p>
        </w:tc>
        <w:tc>
          <w:tcPr>
            <w:tcW w:w="540" w:type="dxa"/>
          </w:tcPr>
          <w:p w:rsidR="001E3526" w:rsidRPr="00ED1D2D" w:rsidRDefault="00C10A11" w:rsidP="00877D27">
            <w:pPr>
              <w:jc w:val="center"/>
              <w:rPr>
                <w:rFonts w:ascii="Verdana" w:hAnsi="Verdana" w:cs="Arial"/>
                <w:sz w:val="24"/>
              </w:rPr>
            </w:pPr>
            <w:r w:rsidRPr="00ED1D2D">
              <w:rPr>
                <w:rFonts w:ascii="Verdana" w:hAnsi="Verdana" w:cs="Arial"/>
                <w:b/>
                <w:sz w:val="24"/>
              </w:rPr>
              <w:t>√</w:t>
            </w:r>
          </w:p>
        </w:tc>
        <w:tc>
          <w:tcPr>
            <w:tcW w:w="1658"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ENDORSE</w:t>
            </w:r>
          </w:p>
        </w:tc>
        <w:tc>
          <w:tcPr>
            <w:tcW w:w="512" w:type="dxa"/>
          </w:tcPr>
          <w:p w:rsidR="001E3526" w:rsidRPr="00ED1D2D" w:rsidRDefault="001E3526" w:rsidP="00877D27">
            <w:pPr>
              <w:jc w:val="center"/>
              <w:rPr>
                <w:rFonts w:ascii="Verdana" w:hAnsi="Verdana" w:cs="Arial"/>
                <w:sz w:val="24"/>
              </w:rPr>
            </w:pPr>
          </w:p>
        </w:tc>
        <w:tc>
          <w:tcPr>
            <w:tcW w:w="1929"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DISCUSS </w:t>
            </w:r>
          </w:p>
        </w:tc>
        <w:tc>
          <w:tcPr>
            <w:tcW w:w="529" w:type="dxa"/>
          </w:tcPr>
          <w:p w:rsidR="001E3526" w:rsidRPr="00ED1D2D" w:rsidRDefault="001E3526" w:rsidP="00E36797">
            <w:pPr>
              <w:jc w:val="center"/>
              <w:rPr>
                <w:rFonts w:ascii="Verdana" w:hAnsi="Verdana" w:cs="Arial"/>
                <w:sz w:val="24"/>
              </w:rPr>
            </w:pPr>
            <w:r w:rsidRPr="00ED1D2D">
              <w:rPr>
                <w:rFonts w:ascii="Verdana" w:hAnsi="Verdana" w:cs="Arial"/>
                <w:b/>
                <w:sz w:val="24"/>
              </w:rPr>
              <w:t>√</w:t>
            </w:r>
          </w:p>
        </w:tc>
        <w:tc>
          <w:tcPr>
            <w:tcW w:w="1132"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NOTE</w:t>
            </w:r>
          </w:p>
        </w:tc>
        <w:tc>
          <w:tcPr>
            <w:tcW w:w="540" w:type="dxa"/>
            <w:gridSpan w:val="2"/>
          </w:tcPr>
          <w:p w:rsidR="001E3526" w:rsidRPr="00ED1D2D" w:rsidRDefault="001E3526" w:rsidP="00877D27">
            <w:pPr>
              <w:jc w:val="center"/>
              <w:rPr>
                <w:rFonts w:ascii="Verdana" w:hAnsi="Verdana" w:cs="Arial"/>
                <w:sz w:val="24"/>
              </w:rPr>
            </w:pPr>
          </w:p>
        </w:tc>
      </w:tr>
      <w:tr w:rsidR="001E3526" w:rsidRPr="00ED1D2D" w:rsidTr="00877D27">
        <w:trPr>
          <w:trHeight w:val="425"/>
        </w:trPr>
        <w:tc>
          <w:tcPr>
            <w:tcW w:w="2988"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Recommendation </w:t>
            </w:r>
          </w:p>
        </w:tc>
        <w:tc>
          <w:tcPr>
            <w:tcW w:w="6300" w:type="dxa"/>
            <w:gridSpan w:val="8"/>
          </w:tcPr>
          <w:p w:rsidR="001E3526" w:rsidRPr="00ED1D2D" w:rsidRDefault="001E3526" w:rsidP="0092603F">
            <w:pPr>
              <w:rPr>
                <w:rFonts w:ascii="Verdana" w:hAnsi="Verdana" w:cs="Arial"/>
                <w:sz w:val="24"/>
              </w:rPr>
            </w:pPr>
            <w:r w:rsidRPr="00ED1D2D">
              <w:rPr>
                <w:rFonts w:ascii="Verdana" w:hAnsi="Verdana" w:cs="Arial"/>
                <w:sz w:val="24"/>
              </w:rPr>
              <w:t>The Emergency Ambulance Services Committee is asked to:</w:t>
            </w:r>
          </w:p>
          <w:p w:rsidR="00662ADB" w:rsidRPr="00ED1D2D" w:rsidRDefault="00353FED" w:rsidP="00662ADB">
            <w:pPr>
              <w:numPr>
                <w:ilvl w:val="0"/>
                <w:numId w:val="1"/>
              </w:numPr>
              <w:autoSpaceDE w:val="0"/>
              <w:autoSpaceDN w:val="0"/>
              <w:adjustRightInd w:val="0"/>
              <w:jc w:val="both"/>
              <w:rPr>
                <w:rFonts w:ascii="Verdana" w:hAnsi="Verdana" w:cs="Tahoma"/>
                <w:b/>
                <w:sz w:val="24"/>
              </w:rPr>
            </w:pPr>
            <w:r w:rsidRPr="00ED1D2D">
              <w:rPr>
                <w:rFonts w:ascii="Verdana" w:hAnsi="Verdana" w:cs="Arial"/>
                <w:b/>
                <w:color w:val="000000"/>
                <w:sz w:val="24"/>
              </w:rPr>
              <w:t xml:space="preserve">DISCUSS </w:t>
            </w:r>
            <w:r w:rsidR="00662ADB" w:rsidRPr="00ED1D2D">
              <w:rPr>
                <w:rFonts w:ascii="Verdana" w:hAnsi="Verdana" w:cs="Tahoma"/>
                <w:sz w:val="24"/>
              </w:rPr>
              <w:t xml:space="preserve">and </w:t>
            </w:r>
            <w:r w:rsidR="00C10A11">
              <w:rPr>
                <w:rFonts w:ascii="Verdana" w:hAnsi="Verdana" w:cs="Arial"/>
                <w:b/>
                <w:color w:val="000000"/>
                <w:sz w:val="24"/>
              </w:rPr>
              <w:t>APPROVE</w:t>
            </w:r>
            <w:r w:rsidRPr="00ED1D2D">
              <w:rPr>
                <w:rFonts w:ascii="Verdana" w:hAnsi="Verdana" w:cs="Arial"/>
                <w:b/>
                <w:color w:val="000000"/>
                <w:sz w:val="24"/>
              </w:rPr>
              <w:t xml:space="preserve"> </w:t>
            </w:r>
            <w:r w:rsidRPr="00ED1D2D">
              <w:rPr>
                <w:rFonts w:ascii="Verdana" w:hAnsi="Verdana" w:cs="Arial"/>
                <w:color w:val="000000"/>
                <w:sz w:val="24"/>
              </w:rPr>
              <w:t>the repor</w:t>
            </w:r>
            <w:r w:rsidR="003A060A" w:rsidRPr="00ED1D2D">
              <w:rPr>
                <w:rFonts w:ascii="Verdana" w:hAnsi="Verdana" w:cs="Arial"/>
                <w:color w:val="000000"/>
                <w:sz w:val="24"/>
              </w:rPr>
              <w:t>t</w:t>
            </w:r>
            <w:r w:rsidR="00B909FF">
              <w:rPr>
                <w:rFonts w:ascii="Verdana" w:hAnsi="Verdana" w:cs="Arial"/>
                <w:color w:val="000000"/>
                <w:sz w:val="24"/>
              </w:rPr>
              <w:t>.</w:t>
            </w:r>
          </w:p>
          <w:p w:rsidR="003A060A" w:rsidRPr="00ED1D2D" w:rsidRDefault="003A060A" w:rsidP="00106192">
            <w:pPr>
              <w:autoSpaceDE w:val="0"/>
              <w:autoSpaceDN w:val="0"/>
              <w:adjustRightInd w:val="0"/>
              <w:ind w:left="360"/>
              <w:jc w:val="both"/>
              <w:rPr>
                <w:rFonts w:ascii="Verdana" w:hAnsi="Verdana" w:cs="Tahoma"/>
                <w:b/>
                <w:sz w:val="24"/>
              </w:rPr>
            </w:pPr>
          </w:p>
        </w:tc>
      </w:tr>
      <w:tr w:rsidR="001E3526" w:rsidRPr="00ED1D2D" w:rsidTr="00877D27">
        <w:trPr>
          <w:trHeight w:val="425"/>
        </w:trPr>
        <w:tc>
          <w:tcPr>
            <w:tcW w:w="9288" w:type="dxa"/>
            <w:gridSpan w:val="11"/>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Summarise the Impact of the EASC Report</w:t>
            </w:r>
          </w:p>
        </w:tc>
      </w:tr>
      <w:tr w:rsidR="001E3526" w:rsidRPr="00ED1D2D" w:rsidTr="00877D27">
        <w:trPr>
          <w:trHeight w:val="425"/>
        </w:trPr>
        <w:tc>
          <w:tcPr>
            <w:tcW w:w="3060" w:type="dxa"/>
            <w:gridSpan w:val="4"/>
            <w:shd w:val="clear" w:color="auto" w:fill="E6E6E6"/>
          </w:tcPr>
          <w:p w:rsidR="001E3526" w:rsidRPr="00ED1D2D" w:rsidRDefault="001E3526" w:rsidP="00877D27">
            <w:pPr>
              <w:rPr>
                <w:rFonts w:ascii="Verdana" w:hAnsi="Verdana" w:cs="Arial"/>
                <w:b/>
                <w:bCs/>
                <w:sz w:val="24"/>
              </w:rPr>
            </w:pPr>
            <w:r w:rsidRPr="00ED1D2D">
              <w:rPr>
                <w:rFonts w:ascii="Verdana" w:hAnsi="Verdana" w:cs="Arial"/>
                <w:b/>
                <w:sz w:val="24"/>
              </w:rPr>
              <w:t>Equality and diversity</w:t>
            </w:r>
          </w:p>
        </w:tc>
        <w:tc>
          <w:tcPr>
            <w:tcW w:w="6228" w:type="dxa"/>
            <w:gridSpan w:val="7"/>
          </w:tcPr>
          <w:p w:rsidR="001E3526" w:rsidRPr="00ED1D2D" w:rsidRDefault="001E3526" w:rsidP="00662ADB">
            <w:pPr>
              <w:jc w:val="both"/>
              <w:rPr>
                <w:rFonts w:ascii="Verdana" w:hAnsi="Verdana" w:cs="Arial"/>
                <w:sz w:val="24"/>
              </w:rPr>
            </w:pPr>
            <w:r w:rsidRPr="00ED1D2D">
              <w:rPr>
                <w:rFonts w:ascii="Verdana" w:hAnsi="Verdana" w:cs="Arial"/>
                <w:sz w:val="24"/>
              </w:rPr>
              <w:t>There are no equality and diversity implications contained within this report.</w:t>
            </w:r>
          </w:p>
        </w:tc>
      </w:tr>
      <w:tr w:rsidR="001E3526" w:rsidRPr="00ED1D2D" w:rsidTr="00877D27">
        <w:trPr>
          <w:trHeight w:val="425"/>
        </w:trPr>
        <w:tc>
          <w:tcPr>
            <w:tcW w:w="3060" w:type="dxa"/>
            <w:gridSpan w:val="4"/>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Legal implications</w:t>
            </w:r>
          </w:p>
        </w:tc>
        <w:tc>
          <w:tcPr>
            <w:tcW w:w="6228" w:type="dxa"/>
            <w:gridSpan w:val="7"/>
          </w:tcPr>
          <w:p w:rsidR="001E3526" w:rsidRPr="00ED1D2D" w:rsidRDefault="001E3526" w:rsidP="00877D27">
            <w:pPr>
              <w:jc w:val="both"/>
              <w:rPr>
                <w:rFonts w:ascii="Verdana" w:hAnsi="Verdana" w:cs="Arial"/>
                <w:sz w:val="24"/>
              </w:rPr>
            </w:pPr>
            <w:r w:rsidRPr="00ED1D2D">
              <w:rPr>
                <w:rFonts w:ascii="Verdana" w:hAnsi="Verdana" w:cs="Arial"/>
                <w:sz w:val="24"/>
              </w:rPr>
              <w:t xml:space="preserve">There are no legal implications contained within this report.  </w:t>
            </w:r>
          </w:p>
        </w:tc>
      </w:tr>
      <w:tr w:rsidR="001E3526" w:rsidRPr="00ED1D2D" w:rsidTr="00877D27">
        <w:trPr>
          <w:trHeight w:val="425"/>
        </w:trPr>
        <w:tc>
          <w:tcPr>
            <w:tcW w:w="3060" w:type="dxa"/>
            <w:gridSpan w:val="4"/>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Population Health</w:t>
            </w:r>
          </w:p>
        </w:tc>
        <w:tc>
          <w:tcPr>
            <w:tcW w:w="6228" w:type="dxa"/>
            <w:gridSpan w:val="7"/>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92603F">
        <w:trPr>
          <w:trHeight w:val="1927"/>
        </w:trPr>
        <w:tc>
          <w:tcPr>
            <w:tcW w:w="3060" w:type="dxa"/>
            <w:gridSpan w:val="4"/>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Quality, Safety &amp; Patient Experience </w:t>
            </w:r>
          </w:p>
        </w:tc>
        <w:tc>
          <w:tcPr>
            <w:tcW w:w="6228" w:type="dxa"/>
            <w:gridSpan w:val="7"/>
          </w:tcPr>
          <w:p w:rsidR="001E3526" w:rsidRPr="00ED1D2D" w:rsidRDefault="001E3526" w:rsidP="00877D27">
            <w:pPr>
              <w:jc w:val="both"/>
              <w:rPr>
                <w:rFonts w:ascii="Verdana" w:hAnsi="Verdana" w:cs="Arial"/>
                <w:sz w:val="24"/>
              </w:rPr>
            </w:pPr>
            <w:r w:rsidRPr="00ED1D2D">
              <w:rPr>
                <w:rFonts w:ascii="Verdana" w:hAnsi="Verdana" w:cs="Arial"/>
                <w:sz w:val="24"/>
              </w:rPr>
              <w:t xml:space="preserve">Ensuring the Committee and its Sub Groups make fully informed decisions is dependent on the quality and accuracy of the information presented and considered by those making decisions.  Informed decisions are more likely to impact favourably on the quality, safety and experience of patients and staff.  </w:t>
            </w:r>
          </w:p>
        </w:tc>
      </w:tr>
      <w:tr w:rsidR="001E3526" w:rsidRPr="00ED1D2D" w:rsidTr="0092603F">
        <w:trPr>
          <w:trHeight w:val="298"/>
        </w:trPr>
        <w:tc>
          <w:tcPr>
            <w:tcW w:w="3060" w:type="dxa"/>
            <w:gridSpan w:val="4"/>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Resources</w:t>
            </w:r>
          </w:p>
        </w:tc>
        <w:tc>
          <w:tcPr>
            <w:tcW w:w="6228" w:type="dxa"/>
            <w:gridSpan w:val="7"/>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877D27">
        <w:trPr>
          <w:trHeight w:val="425"/>
        </w:trPr>
        <w:tc>
          <w:tcPr>
            <w:tcW w:w="3060" w:type="dxa"/>
            <w:gridSpan w:val="4"/>
            <w:shd w:val="clear" w:color="auto" w:fill="E6E6E6"/>
          </w:tcPr>
          <w:p w:rsidR="001E3526" w:rsidRPr="00ED1D2D" w:rsidRDefault="001E3526" w:rsidP="00877D27">
            <w:pPr>
              <w:rPr>
                <w:rFonts w:ascii="Verdana" w:hAnsi="Verdana" w:cs="Arial"/>
                <w:b/>
                <w:bCs/>
                <w:sz w:val="24"/>
              </w:rPr>
            </w:pPr>
            <w:r w:rsidRPr="00ED1D2D">
              <w:rPr>
                <w:rFonts w:ascii="Verdana" w:hAnsi="Verdana" w:cs="Arial"/>
                <w:b/>
                <w:sz w:val="24"/>
              </w:rPr>
              <w:t xml:space="preserve">Risks and Assurance </w:t>
            </w:r>
          </w:p>
        </w:tc>
        <w:tc>
          <w:tcPr>
            <w:tcW w:w="6228" w:type="dxa"/>
            <w:gridSpan w:val="7"/>
          </w:tcPr>
          <w:p w:rsidR="001E3526" w:rsidRPr="00ED1D2D" w:rsidRDefault="001E3526" w:rsidP="00877D27">
            <w:pPr>
              <w:jc w:val="both"/>
              <w:rPr>
                <w:rFonts w:ascii="Verdana" w:hAnsi="Verdana" w:cs="Arial"/>
                <w:sz w:val="24"/>
              </w:rPr>
            </w:pPr>
            <w:r w:rsidRPr="00ED1D2D">
              <w:rPr>
                <w:rFonts w:ascii="Verdana" w:hAnsi="Verdana" w:cs="Arial"/>
                <w:sz w:val="24"/>
              </w:rPr>
              <w:t xml:space="preserve">Ensuring the Committee is fully sighted on key areas of its business is essential to Board Assurance processes and related risks.   </w:t>
            </w:r>
          </w:p>
        </w:tc>
      </w:tr>
      <w:tr w:rsidR="001E3526" w:rsidRPr="00ED1D2D" w:rsidTr="00877D27">
        <w:trPr>
          <w:trHeight w:val="425"/>
        </w:trPr>
        <w:tc>
          <w:tcPr>
            <w:tcW w:w="3060" w:type="dxa"/>
            <w:gridSpan w:val="4"/>
            <w:shd w:val="clear" w:color="auto" w:fill="E6E6E6"/>
          </w:tcPr>
          <w:p w:rsidR="001E3526" w:rsidRPr="00ED1D2D" w:rsidRDefault="001E3526" w:rsidP="00295F18">
            <w:pPr>
              <w:rPr>
                <w:rFonts w:ascii="Verdana" w:hAnsi="Verdana" w:cs="Arial"/>
                <w:b/>
                <w:sz w:val="24"/>
              </w:rPr>
            </w:pPr>
            <w:r w:rsidRPr="00ED1D2D">
              <w:rPr>
                <w:rFonts w:ascii="Verdana" w:hAnsi="Verdana" w:cs="Arial"/>
                <w:b/>
                <w:sz w:val="24"/>
              </w:rPr>
              <w:t>Health and Care Standards</w:t>
            </w:r>
          </w:p>
          <w:p w:rsidR="001E3526" w:rsidRPr="00ED1D2D" w:rsidRDefault="001E3526" w:rsidP="00295F18">
            <w:pPr>
              <w:rPr>
                <w:rFonts w:ascii="Verdana" w:hAnsi="Verdana" w:cs="Arial"/>
                <w:b/>
                <w:sz w:val="24"/>
              </w:rPr>
            </w:pPr>
          </w:p>
        </w:tc>
        <w:tc>
          <w:tcPr>
            <w:tcW w:w="6228" w:type="dxa"/>
            <w:gridSpan w:val="7"/>
          </w:tcPr>
          <w:p w:rsidR="001E3526" w:rsidRPr="00ED1D2D" w:rsidRDefault="001E3526" w:rsidP="00295F18">
            <w:pPr>
              <w:rPr>
                <w:rFonts w:ascii="Verdana" w:hAnsi="Verdana" w:cs="Arial"/>
                <w:sz w:val="24"/>
              </w:rPr>
            </w:pPr>
            <w:r w:rsidRPr="00ED1D2D">
              <w:rPr>
                <w:rFonts w:ascii="Verdana" w:hAnsi="Verdana" w:cs="Arial"/>
                <w:sz w:val="24"/>
              </w:rPr>
              <w:t xml:space="preserve">The 22 Health &amp; Care Standards for NHS Wales are mapped into the 7 Quality Themes; </w:t>
            </w:r>
          </w:p>
          <w:p w:rsidR="001E3526" w:rsidRPr="00ED1D2D" w:rsidRDefault="001E3526" w:rsidP="009A30A0">
            <w:pPr>
              <w:numPr>
                <w:ilvl w:val="0"/>
                <w:numId w:val="2"/>
              </w:numPr>
              <w:jc w:val="both"/>
              <w:rPr>
                <w:rFonts w:ascii="Verdana" w:hAnsi="Verdana" w:cs="Arial"/>
                <w:sz w:val="24"/>
              </w:rPr>
            </w:pPr>
            <w:r w:rsidRPr="00ED1D2D">
              <w:rPr>
                <w:rFonts w:ascii="Verdana" w:hAnsi="Verdana" w:cs="Arial"/>
                <w:sz w:val="24"/>
              </w:rPr>
              <w:t>Staying Healthy; Safe Care; Effective Care</w:t>
            </w:r>
          </w:p>
          <w:p w:rsidR="001E3526" w:rsidRPr="00ED1D2D" w:rsidRDefault="001E3526" w:rsidP="009A30A0">
            <w:pPr>
              <w:numPr>
                <w:ilvl w:val="0"/>
                <w:numId w:val="2"/>
              </w:numPr>
              <w:jc w:val="both"/>
              <w:rPr>
                <w:rFonts w:ascii="Verdana" w:hAnsi="Verdana" w:cs="Arial"/>
                <w:sz w:val="24"/>
              </w:rPr>
            </w:pPr>
            <w:r w:rsidRPr="00ED1D2D">
              <w:rPr>
                <w:rFonts w:ascii="Verdana" w:hAnsi="Verdana" w:cs="Arial"/>
                <w:sz w:val="24"/>
              </w:rPr>
              <w:t>Dignified Care; Timely Care; Individual Care; Staff &amp; Resources</w:t>
            </w:r>
          </w:p>
          <w:p w:rsidR="00745121" w:rsidRPr="00ED1D2D" w:rsidRDefault="00745121" w:rsidP="00745121">
            <w:pPr>
              <w:jc w:val="both"/>
              <w:rPr>
                <w:rFonts w:ascii="Verdana" w:hAnsi="Verdana" w:cs="Arial"/>
                <w:sz w:val="24"/>
              </w:rPr>
            </w:pPr>
          </w:p>
          <w:p w:rsidR="001E3526" w:rsidRPr="00ED1D2D" w:rsidRDefault="000B1B39" w:rsidP="00295F18">
            <w:pPr>
              <w:rPr>
                <w:rFonts w:ascii="Verdana" w:hAnsi="Verdana" w:cs="Arial"/>
                <w:sz w:val="24"/>
              </w:rPr>
            </w:pPr>
            <w:r w:rsidRPr="00ED1D2D">
              <w:rPr>
                <w:rFonts w:ascii="Verdana" w:hAnsi="Verdana" w:cs="Arial"/>
                <w:sz w:val="24"/>
              </w:rPr>
              <w:t>Within</w:t>
            </w:r>
            <w:r w:rsidR="001E3526" w:rsidRPr="00ED1D2D">
              <w:rPr>
                <w:rFonts w:ascii="Verdana" w:hAnsi="Verdana" w:cs="Arial"/>
                <w:sz w:val="24"/>
              </w:rPr>
              <w:t xml:space="preserve"> an overarching Governance Framework.  </w:t>
            </w:r>
          </w:p>
          <w:p w:rsidR="001E3526" w:rsidRPr="00ED1D2D" w:rsidRDefault="004D70F0" w:rsidP="00295F18">
            <w:pPr>
              <w:jc w:val="both"/>
              <w:rPr>
                <w:rFonts w:ascii="Verdana" w:hAnsi="Verdana" w:cs="Arial"/>
                <w:sz w:val="24"/>
              </w:rPr>
            </w:pPr>
            <w:hyperlink r:id="rId10" w:history="1">
              <w:r w:rsidR="001E3526" w:rsidRPr="00ED1D2D">
                <w:rPr>
                  <w:rStyle w:val="Hyperlink"/>
                  <w:rFonts w:ascii="Verdana" w:hAnsi="Verdana" w:cs="Arial"/>
                  <w:sz w:val="24"/>
                </w:rPr>
                <w:t>Welsh Government Health &amp; Care Standards Framework 2015</w:t>
              </w:r>
            </w:hyperlink>
            <w:r w:rsidR="001E3526" w:rsidRPr="00ED1D2D">
              <w:rPr>
                <w:rFonts w:ascii="Verdana" w:hAnsi="Verdana" w:cs="Arial"/>
                <w:sz w:val="24"/>
              </w:rPr>
              <w:t xml:space="preserve"> </w:t>
            </w:r>
          </w:p>
          <w:p w:rsidR="001E3526" w:rsidRPr="00ED1D2D" w:rsidRDefault="001E3526" w:rsidP="00E33ACD">
            <w:pPr>
              <w:jc w:val="both"/>
              <w:rPr>
                <w:rFonts w:ascii="Verdana" w:hAnsi="Verdana" w:cs="Arial"/>
                <w:sz w:val="24"/>
              </w:rPr>
            </w:pPr>
            <w:r w:rsidRPr="00ED1D2D">
              <w:rPr>
                <w:rFonts w:ascii="Verdana" w:hAnsi="Verdana" w:cs="Arial"/>
                <w:sz w:val="24"/>
              </w:rPr>
              <w:t xml:space="preserve">This report focuses mainly on Governance &amp; Accountability but also spans some of the 7 quality themes.  </w:t>
            </w:r>
          </w:p>
        </w:tc>
      </w:tr>
      <w:tr w:rsidR="001E3526" w:rsidRPr="00ED1D2D" w:rsidTr="00877D27">
        <w:trPr>
          <w:trHeight w:val="425"/>
        </w:trPr>
        <w:tc>
          <w:tcPr>
            <w:tcW w:w="3060" w:type="dxa"/>
            <w:gridSpan w:val="4"/>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Workforce</w:t>
            </w:r>
          </w:p>
        </w:tc>
        <w:tc>
          <w:tcPr>
            <w:tcW w:w="6228" w:type="dxa"/>
            <w:gridSpan w:val="7"/>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877D27">
        <w:trPr>
          <w:trHeight w:val="425"/>
        </w:trPr>
        <w:tc>
          <w:tcPr>
            <w:tcW w:w="3060" w:type="dxa"/>
            <w:gridSpan w:val="4"/>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Freedom of information status</w:t>
            </w:r>
          </w:p>
        </w:tc>
        <w:tc>
          <w:tcPr>
            <w:tcW w:w="6228" w:type="dxa"/>
            <w:gridSpan w:val="7"/>
          </w:tcPr>
          <w:p w:rsidR="001E3526" w:rsidRPr="00ED1D2D" w:rsidRDefault="001E3526" w:rsidP="00877D27">
            <w:pPr>
              <w:jc w:val="both"/>
              <w:rPr>
                <w:rFonts w:ascii="Verdana" w:hAnsi="Verdana" w:cs="Arial"/>
                <w:sz w:val="24"/>
              </w:rPr>
            </w:pPr>
            <w:r w:rsidRPr="00ED1D2D">
              <w:rPr>
                <w:rFonts w:ascii="Verdana" w:hAnsi="Verdana" w:cs="Arial"/>
                <w:sz w:val="24"/>
              </w:rPr>
              <w:t>Open</w:t>
            </w:r>
          </w:p>
        </w:tc>
      </w:tr>
    </w:tbl>
    <w:p w:rsidR="001E3526" w:rsidRPr="00ED1D2D" w:rsidRDefault="001E3526" w:rsidP="00AF230B">
      <w:pPr>
        <w:jc w:val="center"/>
        <w:rPr>
          <w:rFonts w:ascii="Verdana" w:hAnsi="Verdana" w:cs="Arial"/>
          <w:b/>
          <w:sz w:val="24"/>
        </w:rPr>
      </w:pPr>
    </w:p>
    <w:p w:rsidR="001E3526" w:rsidRPr="00ED1D2D" w:rsidRDefault="001E3526" w:rsidP="00AF230B">
      <w:pPr>
        <w:jc w:val="center"/>
        <w:rPr>
          <w:rFonts w:ascii="Verdana" w:hAnsi="Verdana" w:cs="Arial"/>
          <w:b/>
          <w:sz w:val="24"/>
        </w:rPr>
      </w:pPr>
    </w:p>
    <w:p w:rsidR="001E3526" w:rsidRPr="00ED1D2D" w:rsidRDefault="001E3526" w:rsidP="00AF230B">
      <w:pPr>
        <w:jc w:val="center"/>
        <w:rPr>
          <w:rFonts w:ascii="Verdana" w:hAnsi="Verdana" w:cs="Arial"/>
          <w:b/>
          <w:sz w:val="24"/>
        </w:rPr>
      </w:pPr>
    </w:p>
    <w:p w:rsidR="002C712B" w:rsidRPr="00ED1D2D" w:rsidRDefault="002C712B">
      <w:pPr>
        <w:rPr>
          <w:rFonts w:ascii="Verdana" w:hAnsi="Verdana" w:cs="Arial"/>
          <w:b/>
          <w:sz w:val="24"/>
        </w:rPr>
      </w:pPr>
      <w:r w:rsidRPr="00ED1D2D">
        <w:rPr>
          <w:rFonts w:ascii="Verdana" w:hAnsi="Verdana" w:cs="Arial"/>
          <w:b/>
          <w:sz w:val="24"/>
        </w:rPr>
        <w:br w:type="page"/>
      </w:r>
    </w:p>
    <w:p w:rsidR="002966D2" w:rsidRPr="00F02F36" w:rsidRDefault="002966D2" w:rsidP="002966D2">
      <w:pPr>
        <w:jc w:val="center"/>
        <w:rPr>
          <w:rFonts w:ascii="Verdana" w:hAnsi="Verdana" w:cs="Arial"/>
          <w:b/>
          <w:sz w:val="24"/>
        </w:rPr>
      </w:pPr>
      <w:r>
        <w:rPr>
          <w:rFonts w:ascii="Verdana" w:hAnsi="Verdana"/>
          <w:b/>
          <w:sz w:val="24"/>
        </w:rPr>
        <w:lastRenderedPageBreak/>
        <w:t>P</w:t>
      </w:r>
      <w:r w:rsidRPr="00F02F36">
        <w:rPr>
          <w:rFonts w:ascii="Verdana" w:hAnsi="Verdana"/>
          <w:b/>
          <w:sz w:val="24"/>
        </w:rPr>
        <w:t xml:space="preserve">ROPOSED USE OF THE 1% </w:t>
      </w:r>
      <w:r>
        <w:rPr>
          <w:rFonts w:ascii="Verdana" w:hAnsi="Verdana"/>
          <w:b/>
          <w:sz w:val="24"/>
        </w:rPr>
        <w:t xml:space="preserve">‘A </w:t>
      </w:r>
      <w:r w:rsidRPr="00F02F36">
        <w:rPr>
          <w:rFonts w:ascii="Verdana" w:hAnsi="Verdana"/>
          <w:b/>
          <w:sz w:val="24"/>
        </w:rPr>
        <w:t>HEALTHIER WALES</w:t>
      </w:r>
      <w:r>
        <w:rPr>
          <w:rFonts w:ascii="Verdana" w:hAnsi="Verdana"/>
          <w:b/>
          <w:sz w:val="24"/>
        </w:rPr>
        <w:t>’</w:t>
      </w:r>
      <w:r w:rsidRPr="00F02F36">
        <w:rPr>
          <w:rFonts w:ascii="Verdana" w:hAnsi="Verdana"/>
          <w:b/>
          <w:sz w:val="24"/>
        </w:rPr>
        <w:t xml:space="preserve"> FUNDING COMMISSIONING ALLOCATION FOR</w:t>
      </w:r>
      <w:r>
        <w:rPr>
          <w:rFonts w:ascii="Verdana" w:hAnsi="Verdana"/>
          <w:b/>
          <w:sz w:val="24"/>
        </w:rPr>
        <w:t xml:space="preserve"> THE WELSH AMBULANCES SERVICES NHS TRUST</w:t>
      </w:r>
      <w:r w:rsidRPr="00F02F36">
        <w:rPr>
          <w:rFonts w:ascii="Verdana" w:hAnsi="Verdana"/>
          <w:b/>
          <w:sz w:val="24"/>
        </w:rPr>
        <w:t xml:space="preserve"> </w:t>
      </w:r>
      <w:r>
        <w:rPr>
          <w:rFonts w:ascii="Verdana" w:hAnsi="Verdana"/>
          <w:b/>
          <w:sz w:val="24"/>
        </w:rPr>
        <w:t>(</w:t>
      </w:r>
      <w:r w:rsidRPr="00F02F36">
        <w:rPr>
          <w:rFonts w:ascii="Verdana" w:hAnsi="Verdana"/>
          <w:b/>
          <w:sz w:val="24"/>
        </w:rPr>
        <w:t>WAST</w:t>
      </w:r>
      <w:r>
        <w:rPr>
          <w:rFonts w:ascii="Verdana" w:hAnsi="Verdana"/>
          <w:b/>
          <w:sz w:val="24"/>
        </w:rPr>
        <w:t>)</w:t>
      </w:r>
    </w:p>
    <w:p w:rsidR="001E3526" w:rsidRPr="00ED1D2D" w:rsidRDefault="001E3526" w:rsidP="00877D27">
      <w:pPr>
        <w:pStyle w:val="Footer"/>
        <w:tabs>
          <w:tab w:val="clear" w:pos="8306"/>
          <w:tab w:val="right" w:pos="9000"/>
        </w:tabs>
        <w:jc w:val="both"/>
        <w:rPr>
          <w:rFonts w:ascii="Verdana" w:hAnsi="Verdana" w:cs="Arial"/>
          <w:b/>
          <w:sz w:val="24"/>
        </w:rPr>
      </w:pPr>
    </w:p>
    <w:p w:rsidR="001E3526" w:rsidRPr="00ED1D2D" w:rsidRDefault="001E3526" w:rsidP="00877D27">
      <w:pPr>
        <w:pStyle w:val="Footer"/>
        <w:tabs>
          <w:tab w:val="clear" w:pos="4153"/>
          <w:tab w:val="clear" w:pos="8306"/>
          <w:tab w:val="center" w:pos="720"/>
          <w:tab w:val="right" w:pos="9000"/>
        </w:tabs>
        <w:jc w:val="both"/>
        <w:rPr>
          <w:rFonts w:ascii="Verdana" w:hAnsi="Verdana"/>
          <w:b/>
          <w:sz w:val="24"/>
        </w:rPr>
      </w:pPr>
      <w:r w:rsidRPr="00ED1D2D">
        <w:rPr>
          <w:rFonts w:ascii="Verdana" w:hAnsi="Verdana"/>
          <w:b/>
          <w:sz w:val="24"/>
        </w:rPr>
        <w:t>1.</w:t>
      </w:r>
      <w:r w:rsidRPr="00ED1D2D">
        <w:rPr>
          <w:rFonts w:ascii="Verdana" w:hAnsi="Verdana"/>
          <w:b/>
          <w:sz w:val="24"/>
        </w:rPr>
        <w:tab/>
        <w:t xml:space="preserve">   </w:t>
      </w:r>
      <w:r w:rsidRPr="00ED1D2D">
        <w:rPr>
          <w:rFonts w:ascii="Verdana" w:hAnsi="Verdana"/>
          <w:b/>
          <w:sz w:val="24"/>
          <w:bdr w:val="single" w:sz="4" w:space="0" w:color="auto"/>
        </w:rPr>
        <w:t>S</w:t>
      </w:r>
      <w:r w:rsidRPr="00ED1D2D">
        <w:rPr>
          <w:rFonts w:ascii="Verdana" w:hAnsi="Verdana"/>
          <w:b/>
          <w:sz w:val="24"/>
        </w:rPr>
        <w:t>ITUATION / PURPOSE OF REPORT</w:t>
      </w:r>
    </w:p>
    <w:p w:rsidR="00F02F36" w:rsidRDefault="00F02F36" w:rsidP="00F02F36">
      <w:pPr>
        <w:rPr>
          <w:rFonts w:ascii="Verdana" w:hAnsi="Verdana"/>
          <w:sz w:val="24"/>
        </w:rPr>
      </w:pPr>
    </w:p>
    <w:p w:rsidR="00F02F36" w:rsidRPr="00F02F36" w:rsidRDefault="00F02F36" w:rsidP="00112D48">
      <w:pPr>
        <w:jc w:val="both"/>
        <w:rPr>
          <w:rFonts w:ascii="Verdana" w:hAnsi="Verdana"/>
          <w:sz w:val="24"/>
        </w:rPr>
      </w:pPr>
      <w:r w:rsidRPr="00F02F36">
        <w:rPr>
          <w:rFonts w:ascii="Verdana" w:hAnsi="Verdana"/>
          <w:sz w:val="24"/>
        </w:rPr>
        <w:t xml:space="preserve">To determine the proposed use of the 1% </w:t>
      </w:r>
      <w:r w:rsidR="00112D48">
        <w:rPr>
          <w:rFonts w:ascii="Verdana" w:hAnsi="Verdana"/>
          <w:sz w:val="24"/>
        </w:rPr>
        <w:t xml:space="preserve">‘A </w:t>
      </w:r>
      <w:r w:rsidRPr="00F02F36">
        <w:rPr>
          <w:rFonts w:ascii="Verdana" w:hAnsi="Verdana"/>
          <w:sz w:val="24"/>
        </w:rPr>
        <w:t>Healthier Wales</w:t>
      </w:r>
      <w:r w:rsidR="00112D48">
        <w:rPr>
          <w:rFonts w:ascii="Verdana" w:hAnsi="Verdana"/>
          <w:sz w:val="24"/>
        </w:rPr>
        <w:t>’ f</w:t>
      </w:r>
      <w:r w:rsidRPr="00F02F36">
        <w:rPr>
          <w:rFonts w:ascii="Verdana" w:hAnsi="Verdana"/>
          <w:sz w:val="24"/>
        </w:rPr>
        <w:t xml:space="preserve">unding commissioning allocation for </w:t>
      </w:r>
      <w:r w:rsidR="00112D48">
        <w:rPr>
          <w:rFonts w:ascii="Verdana" w:hAnsi="Verdana"/>
          <w:sz w:val="24"/>
        </w:rPr>
        <w:t>the Welsh Ambulance Services NHS Trust (WAST)</w:t>
      </w:r>
      <w:r w:rsidRPr="00F02F36">
        <w:rPr>
          <w:rFonts w:ascii="Verdana" w:hAnsi="Verdana"/>
          <w:sz w:val="24"/>
        </w:rPr>
        <w:t xml:space="preserve"> </w:t>
      </w:r>
      <w:r w:rsidR="00112D48">
        <w:rPr>
          <w:rFonts w:ascii="Verdana" w:hAnsi="Verdana"/>
          <w:sz w:val="24"/>
        </w:rPr>
        <w:t>as approved</w:t>
      </w:r>
      <w:r w:rsidRPr="00F02F36">
        <w:rPr>
          <w:rFonts w:ascii="Verdana" w:hAnsi="Verdana"/>
          <w:sz w:val="24"/>
        </w:rPr>
        <w:t xml:space="preserve"> within the EASC IMTP.</w:t>
      </w:r>
    </w:p>
    <w:p w:rsidR="00F10885" w:rsidRPr="00ED1D2D" w:rsidRDefault="00F10885" w:rsidP="00F408AF">
      <w:pPr>
        <w:jc w:val="both"/>
        <w:rPr>
          <w:rFonts w:ascii="Verdana" w:hAnsi="Verdana" w:cs="Arial"/>
          <w:sz w:val="24"/>
        </w:rPr>
      </w:pPr>
    </w:p>
    <w:p w:rsidR="001E3526" w:rsidRPr="00ED1D2D" w:rsidRDefault="001E3526" w:rsidP="00F408AF">
      <w:pPr>
        <w:pStyle w:val="Heading8"/>
        <w:spacing w:before="0" w:after="0"/>
        <w:jc w:val="both"/>
        <w:rPr>
          <w:rFonts w:ascii="Verdana" w:hAnsi="Verdana" w:cs="Arial"/>
          <w:b/>
          <w:i w:val="0"/>
        </w:rPr>
      </w:pPr>
      <w:r w:rsidRPr="00ED1D2D">
        <w:rPr>
          <w:rFonts w:ascii="Verdana" w:hAnsi="Verdana"/>
          <w:b/>
          <w:i w:val="0"/>
          <w:iCs w:val="0"/>
        </w:rPr>
        <w:t xml:space="preserve">2.  </w:t>
      </w:r>
      <w:r w:rsidRPr="00ED1D2D">
        <w:rPr>
          <w:rFonts w:ascii="Verdana" w:hAnsi="Verdana" w:cs="Arial"/>
          <w:b/>
          <w:i w:val="0"/>
          <w:bdr w:val="single" w:sz="4" w:space="0" w:color="auto"/>
        </w:rPr>
        <w:t>B</w:t>
      </w:r>
      <w:r w:rsidRPr="00ED1D2D">
        <w:rPr>
          <w:rFonts w:ascii="Verdana" w:hAnsi="Verdana" w:cs="Arial"/>
          <w:b/>
          <w:i w:val="0"/>
        </w:rPr>
        <w:t xml:space="preserve">ACKGROUND / INTRODUCTION </w:t>
      </w:r>
    </w:p>
    <w:p w:rsidR="001E3526" w:rsidRDefault="001E3526" w:rsidP="00F408AF">
      <w:pPr>
        <w:pStyle w:val="Footer"/>
        <w:tabs>
          <w:tab w:val="clear" w:pos="8306"/>
          <w:tab w:val="right" w:pos="9000"/>
        </w:tabs>
        <w:jc w:val="both"/>
        <w:rPr>
          <w:rFonts w:ascii="Verdana" w:hAnsi="Verdana" w:cs="Arial"/>
          <w:sz w:val="24"/>
        </w:rPr>
      </w:pPr>
    </w:p>
    <w:p w:rsidR="00F02F36" w:rsidRPr="00F02F36" w:rsidRDefault="00F02F36" w:rsidP="00112D48">
      <w:pPr>
        <w:jc w:val="both"/>
        <w:rPr>
          <w:rFonts w:ascii="Verdana" w:hAnsi="Verdana"/>
          <w:sz w:val="24"/>
        </w:rPr>
      </w:pPr>
      <w:r w:rsidRPr="00F02F36">
        <w:rPr>
          <w:rFonts w:ascii="Verdana" w:hAnsi="Verdana"/>
          <w:sz w:val="24"/>
        </w:rPr>
        <w:t xml:space="preserve">The 1% </w:t>
      </w:r>
      <w:r w:rsidR="00112D48">
        <w:rPr>
          <w:rFonts w:ascii="Verdana" w:hAnsi="Verdana"/>
          <w:sz w:val="24"/>
        </w:rPr>
        <w:t xml:space="preserve">‘A </w:t>
      </w:r>
      <w:r w:rsidRPr="00F02F36">
        <w:rPr>
          <w:rFonts w:ascii="Verdana" w:hAnsi="Verdana"/>
          <w:sz w:val="24"/>
        </w:rPr>
        <w:t>Healthier Wales</w:t>
      </w:r>
      <w:r w:rsidR="00112D48">
        <w:rPr>
          <w:rFonts w:ascii="Verdana" w:hAnsi="Verdana"/>
          <w:sz w:val="24"/>
        </w:rPr>
        <w:t>’</w:t>
      </w:r>
      <w:r w:rsidRPr="00F02F36">
        <w:rPr>
          <w:rFonts w:ascii="Verdana" w:hAnsi="Verdana"/>
          <w:sz w:val="24"/>
        </w:rPr>
        <w:t xml:space="preserve"> funding is provided to support additionality as clarified by the Welsh Government in correspondence dated 18 J</w:t>
      </w:r>
      <w:r w:rsidR="00112D48">
        <w:rPr>
          <w:rFonts w:ascii="Verdana" w:hAnsi="Verdana"/>
          <w:sz w:val="24"/>
        </w:rPr>
        <w:t>anuary, with their expectations</w:t>
      </w:r>
      <w:r w:rsidRPr="00F02F36">
        <w:rPr>
          <w:rFonts w:ascii="Verdana" w:hAnsi="Verdana"/>
          <w:sz w:val="24"/>
        </w:rPr>
        <w:t xml:space="preserve"> that:</w:t>
      </w:r>
    </w:p>
    <w:p w:rsidR="00F02F36" w:rsidRPr="00F02F36" w:rsidRDefault="00F02F36" w:rsidP="00112D48">
      <w:pPr>
        <w:numPr>
          <w:ilvl w:val="0"/>
          <w:numId w:val="26"/>
        </w:numPr>
        <w:contextualSpacing/>
        <w:jc w:val="both"/>
        <w:rPr>
          <w:rFonts w:ascii="Verdana" w:hAnsi="Verdana"/>
          <w:sz w:val="24"/>
        </w:rPr>
      </w:pPr>
      <w:r w:rsidRPr="00F02F36">
        <w:rPr>
          <w:rFonts w:ascii="Verdana" w:hAnsi="Verdana"/>
          <w:sz w:val="24"/>
        </w:rPr>
        <w:t>evidence is provided to demonstrate this additional allocation is used to s</w:t>
      </w:r>
      <w:r w:rsidR="00112D48">
        <w:rPr>
          <w:rFonts w:ascii="Verdana" w:hAnsi="Verdana"/>
          <w:sz w:val="24"/>
        </w:rPr>
        <w:t>ecure further service provision</w:t>
      </w:r>
    </w:p>
    <w:p w:rsidR="00F02F36" w:rsidRPr="00F02F36" w:rsidRDefault="00F02F36" w:rsidP="00112D48">
      <w:pPr>
        <w:numPr>
          <w:ilvl w:val="0"/>
          <w:numId w:val="26"/>
        </w:numPr>
        <w:contextualSpacing/>
        <w:jc w:val="both"/>
        <w:rPr>
          <w:rFonts w:ascii="Verdana" w:hAnsi="Verdana"/>
          <w:sz w:val="24"/>
        </w:rPr>
      </w:pPr>
      <w:r w:rsidRPr="00F02F36">
        <w:rPr>
          <w:rFonts w:ascii="Verdana" w:hAnsi="Verdana"/>
          <w:sz w:val="24"/>
        </w:rPr>
        <w:t>EASC discusses with the Welsh Ambulance Services NHS Trust (WAST) how this additional funding can be best utilised to further im</w:t>
      </w:r>
      <w:r w:rsidR="00B909FF">
        <w:rPr>
          <w:rFonts w:ascii="Verdana" w:hAnsi="Verdana"/>
          <w:sz w:val="24"/>
        </w:rPr>
        <w:t>prove performance and outcomes</w:t>
      </w:r>
    </w:p>
    <w:p w:rsidR="00F02F36" w:rsidRPr="00F02F36" w:rsidRDefault="00F02F36" w:rsidP="00112D48">
      <w:pPr>
        <w:numPr>
          <w:ilvl w:val="0"/>
          <w:numId w:val="26"/>
        </w:numPr>
        <w:contextualSpacing/>
        <w:jc w:val="both"/>
        <w:rPr>
          <w:rFonts w:ascii="Verdana" w:hAnsi="Verdana"/>
          <w:sz w:val="24"/>
        </w:rPr>
      </w:pPr>
      <w:r w:rsidRPr="00F02F36">
        <w:rPr>
          <w:rFonts w:ascii="Verdana" w:hAnsi="Verdana"/>
          <w:sz w:val="24"/>
        </w:rPr>
        <w:t xml:space="preserve">the Welsh Government are advised in due course on the detail of the additional service provision which has been funded.    </w:t>
      </w:r>
    </w:p>
    <w:p w:rsidR="00F02F36" w:rsidRPr="00ED1D2D" w:rsidRDefault="00F02F36" w:rsidP="00F408AF">
      <w:pPr>
        <w:pStyle w:val="Footer"/>
        <w:tabs>
          <w:tab w:val="clear" w:pos="8306"/>
          <w:tab w:val="right" w:pos="9000"/>
        </w:tabs>
        <w:jc w:val="both"/>
        <w:rPr>
          <w:rFonts w:ascii="Verdana" w:hAnsi="Verdana" w:cs="Arial"/>
          <w:sz w:val="24"/>
        </w:rPr>
      </w:pPr>
    </w:p>
    <w:p w:rsidR="001E3526" w:rsidRPr="00ED1D2D" w:rsidRDefault="001E3526" w:rsidP="00F408AF">
      <w:pPr>
        <w:pStyle w:val="Footer"/>
        <w:tabs>
          <w:tab w:val="clear" w:pos="8306"/>
          <w:tab w:val="right" w:pos="9000"/>
        </w:tabs>
        <w:jc w:val="both"/>
        <w:rPr>
          <w:rFonts w:ascii="Verdana" w:hAnsi="Verdana"/>
          <w:b/>
          <w:sz w:val="24"/>
        </w:rPr>
      </w:pPr>
      <w:r w:rsidRPr="00ED1D2D">
        <w:rPr>
          <w:rFonts w:ascii="Verdana" w:hAnsi="Verdana"/>
          <w:b/>
          <w:iCs/>
          <w:sz w:val="24"/>
        </w:rPr>
        <w:t xml:space="preserve">3.   </w:t>
      </w:r>
      <w:r w:rsidRPr="00ED1D2D">
        <w:rPr>
          <w:rFonts w:ascii="Verdana" w:hAnsi="Verdana"/>
          <w:b/>
          <w:sz w:val="24"/>
          <w:bdr w:val="single" w:sz="4" w:space="0" w:color="auto"/>
        </w:rPr>
        <w:t>A</w:t>
      </w:r>
      <w:r w:rsidRPr="00ED1D2D">
        <w:rPr>
          <w:rFonts w:ascii="Verdana" w:hAnsi="Verdana"/>
          <w:b/>
          <w:sz w:val="24"/>
        </w:rPr>
        <w:t>SSESSMENT / GOVERNANCE AND RISK ISSUES</w:t>
      </w:r>
    </w:p>
    <w:p w:rsidR="00D05391" w:rsidRDefault="00D05391" w:rsidP="00F408AF">
      <w:pPr>
        <w:jc w:val="both"/>
        <w:rPr>
          <w:rFonts w:ascii="Verdana" w:hAnsi="Verdana"/>
          <w:sz w:val="24"/>
        </w:rPr>
      </w:pPr>
    </w:p>
    <w:p w:rsidR="00F02F36" w:rsidRDefault="00F02F36" w:rsidP="00F02F36">
      <w:pPr>
        <w:jc w:val="both"/>
        <w:outlineLvl w:val="0"/>
        <w:rPr>
          <w:rFonts w:ascii="Verdana" w:hAnsi="Verdana" w:cs="Tahoma"/>
          <w:b/>
          <w:sz w:val="24"/>
        </w:rPr>
      </w:pPr>
      <w:r w:rsidRPr="00F02F36">
        <w:rPr>
          <w:rFonts w:ascii="Verdana" w:hAnsi="Verdana" w:cs="Tahoma"/>
          <w:b/>
          <w:sz w:val="24"/>
        </w:rPr>
        <w:t xml:space="preserve">Commissioning Values </w:t>
      </w:r>
    </w:p>
    <w:p w:rsidR="00F02F36" w:rsidRPr="00F02F36" w:rsidRDefault="00F02F36" w:rsidP="00F02F36">
      <w:pPr>
        <w:jc w:val="both"/>
        <w:outlineLvl w:val="0"/>
        <w:rPr>
          <w:rFonts w:ascii="Verdana" w:hAnsi="Verdana" w:cs="Tahoma"/>
          <w:b/>
          <w:sz w:val="24"/>
        </w:rPr>
      </w:pPr>
    </w:p>
    <w:p w:rsidR="00F02F36" w:rsidRPr="00F02F36" w:rsidRDefault="00F02F36" w:rsidP="00F02F36">
      <w:pPr>
        <w:jc w:val="both"/>
        <w:outlineLvl w:val="0"/>
        <w:rPr>
          <w:rFonts w:ascii="Verdana" w:hAnsi="Verdana"/>
          <w:sz w:val="24"/>
          <w:lang w:val="en-US" w:eastAsia="en-US"/>
        </w:rPr>
      </w:pPr>
      <w:r w:rsidRPr="00F02F36">
        <w:rPr>
          <w:rFonts w:ascii="Verdana" w:hAnsi="Verdana"/>
          <w:sz w:val="24"/>
          <w:lang w:val="en-US" w:eastAsia="en-US"/>
        </w:rPr>
        <w:t xml:space="preserve">The total value of the 1% </w:t>
      </w:r>
      <w:r w:rsidR="00B909FF">
        <w:rPr>
          <w:rFonts w:ascii="Verdana" w:hAnsi="Verdana"/>
          <w:sz w:val="24"/>
          <w:lang w:val="en-US" w:eastAsia="en-US"/>
        </w:rPr>
        <w:t>‘A</w:t>
      </w:r>
      <w:r w:rsidRPr="00F02F36">
        <w:rPr>
          <w:rFonts w:ascii="Verdana" w:hAnsi="Verdana"/>
          <w:sz w:val="24"/>
          <w:lang w:val="en-US" w:eastAsia="en-US"/>
        </w:rPr>
        <w:t xml:space="preserve"> Healthier Wales</w:t>
      </w:r>
      <w:r w:rsidR="00B909FF">
        <w:rPr>
          <w:rFonts w:ascii="Verdana" w:hAnsi="Verdana"/>
          <w:sz w:val="24"/>
          <w:lang w:val="en-US" w:eastAsia="en-US"/>
        </w:rPr>
        <w:t>’</w:t>
      </w:r>
      <w:r w:rsidRPr="00F02F36">
        <w:rPr>
          <w:rFonts w:ascii="Verdana" w:hAnsi="Verdana"/>
          <w:sz w:val="24"/>
          <w:lang w:val="en-US" w:eastAsia="en-US"/>
        </w:rPr>
        <w:t xml:space="preserve"> commissioning allocation identified within the EASC IMTP 2019/22 </w:t>
      </w:r>
      <w:r w:rsidR="00B909FF" w:rsidRPr="00B909FF">
        <w:rPr>
          <w:rFonts w:ascii="Verdana" w:hAnsi="Verdana"/>
          <w:sz w:val="24"/>
        </w:rPr>
        <w:t>is £1.</w:t>
      </w:r>
      <w:r w:rsidR="00B909FF">
        <w:rPr>
          <w:rFonts w:ascii="Verdana" w:hAnsi="Verdana"/>
          <w:sz w:val="24"/>
        </w:rPr>
        <w:t>477</w:t>
      </w:r>
      <w:r w:rsidR="00B909FF" w:rsidRPr="00B909FF">
        <w:rPr>
          <w:rFonts w:ascii="Verdana" w:hAnsi="Verdana"/>
          <w:sz w:val="24"/>
        </w:rPr>
        <w:t>m</w:t>
      </w:r>
      <w:r w:rsidR="00B909FF" w:rsidRPr="00B909FF">
        <w:rPr>
          <w:sz w:val="24"/>
        </w:rPr>
        <w:t xml:space="preserve"> </w:t>
      </w:r>
      <w:r w:rsidRPr="00F02F36">
        <w:rPr>
          <w:rFonts w:ascii="Verdana" w:hAnsi="Verdana"/>
          <w:sz w:val="24"/>
          <w:lang w:val="en-US" w:eastAsia="en-US"/>
        </w:rPr>
        <w:t xml:space="preserve">for Emergency Ambulance Services and NEPTS. </w:t>
      </w:r>
    </w:p>
    <w:p w:rsidR="00F02F36" w:rsidRPr="00F02F36" w:rsidRDefault="00F02F36" w:rsidP="00F02F36">
      <w:pPr>
        <w:jc w:val="both"/>
        <w:outlineLvl w:val="0"/>
        <w:rPr>
          <w:rFonts w:ascii="Verdana" w:hAnsi="Verdana"/>
          <w:sz w:val="24"/>
          <w:lang w:val="en-US" w:eastAsia="en-US"/>
        </w:rPr>
      </w:pPr>
    </w:p>
    <w:p w:rsidR="004D70F0" w:rsidRDefault="00F02F36" w:rsidP="00B909FF">
      <w:pPr>
        <w:jc w:val="both"/>
        <w:outlineLvl w:val="0"/>
        <w:rPr>
          <w:rFonts w:ascii="Verdana" w:hAnsi="Verdana"/>
          <w:sz w:val="24"/>
          <w:lang w:val="en-US" w:eastAsia="en-US"/>
        </w:rPr>
      </w:pPr>
      <w:r w:rsidRPr="00F02F36">
        <w:rPr>
          <w:rFonts w:ascii="Verdana" w:hAnsi="Verdana"/>
          <w:sz w:val="24"/>
          <w:lang w:val="en-US" w:eastAsia="en-US"/>
        </w:rPr>
        <w:t>The £0.036m for EMRTS was targeted within the EASC IMTP towards the EMRTS expansion plan</w:t>
      </w:r>
      <w:r w:rsidRPr="00B909FF">
        <w:rPr>
          <w:rFonts w:ascii="Verdana" w:hAnsi="Verdana"/>
          <w:sz w:val="24"/>
          <w:lang w:val="en-US" w:eastAsia="en-US"/>
        </w:rPr>
        <w:t xml:space="preserve">. </w:t>
      </w:r>
    </w:p>
    <w:p w:rsidR="004D70F0" w:rsidRDefault="004D70F0" w:rsidP="00B909FF">
      <w:pPr>
        <w:jc w:val="both"/>
        <w:outlineLvl w:val="0"/>
        <w:rPr>
          <w:rFonts w:ascii="Verdana" w:hAnsi="Verdana"/>
          <w:sz w:val="24"/>
          <w:lang w:val="en-US" w:eastAsia="en-US"/>
        </w:rPr>
      </w:pPr>
    </w:p>
    <w:p w:rsidR="00B909FF" w:rsidRPr="00B909FF" w:rsidRDefault="00B909FF" w:rsidP="00B909FF">
      <w:pPr>
        <w:jc w:val="both"/>
        <w:outlineLvl w:val="0"/>
        <w:rPr>
          <w:rFonts w:ascii="Verdana" w:hAnsi="Verdana"/>
          <w:sz w:val="24"/>
          <w:lang w:val="en-US" w:eastAsia="en-US"/>
        </w:rPr>
      </w:pPr>
      <w:r w:rsidRPr="00B909FF">
        <w:rPr>
          <w:rFonts w:ascii="Verdana" w:hAnsi="Verdana"/>
          <w:sz w:val="24"/>
        </w:rPr>
        <w:t>A total of £1.513m ‘Healthier Wales’ funding has been allocated through 2019/20 IMTPs.</w:t>
      </w:r>
    </w:p>
    <w:p w:rsidR="00F02F36" w:rsidRPr="00F02F36" w:rsidRDefault="00F02F36" w:rsidP="00F02F36">
      <w:pPr>
        <w:jc w:val="both"/>
        <w:outlineLvl w:val="0"/>
        <w:rPr>
          <w:rFonts w:ascii="Verdana" w:hAnsi="Verdana" w:cs="Tahoma"/>
          <w:sz w:val="24"/>
        </w:rPr>
      </w:pPr>
    </w:p>
    <w:p w:rsidR="00F02F36" w:rsidRDefault="00F02F36" w:rsidP="00F02F36">
      <w:pPr>
        <w:jc w:val="both"/>
        <w:outlineLvl w:val="0"/>
        <w:rPr>
          <w:rFonts w:ascii="Verdana" w:hAnsi="Verdana" w:cs="Tahoma"/>
          <w:b/>
          <w:sz w:val="24"/>
        </w:rPr>
      </w:pPr>
      <w:r w:rsidRPr="00F02F36">
        <w:rPr>
          <w:rFonts w:ascii="Verdana" w:hAnsi="Verdana" w:cs="Tahoma"/>
          <w:b/>
          <w:sz w:val="24"/>
        </w:rPr>
        <w:t xml:space="preserve">Sources of Initiatives </w:t>
      </w:r>
    </w:p>
    <w:p w:rsidR="00F02F36" w:rsidRPr="00F02F36" w:rsidRDefault="00F02F36" w:rsidP="00F02F36">
      <w:pPr>
        <w:jc w:val="both"/>
        <w:outlineLvl w:val="0"/>
        <w:rPr>
          <w:rFonts w:ascii="Verdana" w:hAnsi="Verdana" w:cs="Tahoma"/>
          <w:b/>
          <w:sz w:val="24"/>
        </w:rPr>
      </w:pPr>
    </w:p>
    <w:p w:rsidR="00F02F36" w:rsidRPr="00F02F36" w:rsidRDefault="00F02F36" w:rsidP="00F02F36">
      <w:pPr>
        <w:rPr>
          <w:rFonts w:ascii="Verdana" w:hAnsi="Verdana"/>
          <w:bCs/>
          <w:sz w:val="24"/>
        </w:rPr>
      </w:pPr>
      <w:r w:rsidRPr="00F02F36">
        <w:rPr>
          <w:rFonts w:ascii="Verdana" w:hAnsi="Verdana"/>
          <w:bCs/>
          <w:sz w:val="24"/>
        </w:rPr>
        <w:t xml:space="preserve">These are proposed to be </w:t>
      </w:r>
      <w:r w:rsidR="00B909FF">
        <w:rPr>
          <w:rFonts w:ascii="Verdana" w:hAnsi="Verdana"/>
          <w:bCs/>
          <w:sz w:val="24"/>
        </w:rPr>
        <w:t>from the following three areas:</w:t>
      </w:r>
    </w:p>
    <w:p w:rsidR="00F02F36" w:rsidRPr="00F02F36" w:rsidRDefault="00F02F36" w:rsidP="00F02F36">
      <w:pPr>
        <w:rPr>
          <w:rFonts w:ascii="Verdana" w:hAnsi="Verdana"/>
          <w:b/>
          <w:bCs/>
          <w:sz w:val="24"/>
        </w:rPr>
      </w:pPr>
    </w:p>
    <w:p w:rsidR="00F02F36" w:rsidRPr="00F02F36" w:rsidRDefault="00F02F36" w:rsidP="00B909FF">
      <w:pPr>
        <w:numPr>
          <w:ilvl w:val="0"/>
          <w:numId w:val="27"/>
        </w:numPr>
        <w:contextualSpacing/>
        <w:jc w:val="both"/>
        <w:rPr>
          <w:rFonts w:ascii="Verdana" w:hAnsi="Verdana"/>
          <w:sz w:val="24"/>
        </w:rPr>
      </w:pPr>
      <w:r w:rsidRPr="00F02F36">
        <w:rPr>
          <w:rFonts w:ascii="Verdana" w:hAnsi="Verdana"/>
          <w:b/>
          <w:bCs/>
          <w:sz w:val="24"/>
        </w:rPr>
        <w:t>E</w:t>
      </w:r>
      <w:r w:rsidR="00B909FF">
        <w:rPr>
          <w:rFonts w:ascii="Verdana" w:hAnsi="Verdana"/>
          <w:b/>
          <w:bCs/>
          <w:sz w:val="24"/>
        </w:rPr>
        <w:t xml:space="preserve">mergency Medical Services (EMS) </w:t>
      </w:r>
      <w:r w:rsidRPr="00F02F36">
        <w:rPr>
          <w:rFonts w:ascii="Verdana" w:hAnsi="Verdana"/>
          <w:b/>
          <w:bCs/>
          <w:sz w:val="24"/>
        </w:rPr>
        <w:t>WAST &amp; Health Board Joint Improvements (Table 2s)</w:t>
      </w:r>
    </w:p>
    <w:p w:rsidR="00F02F36" w:rsidRPr="00F02F36" w:rsidRDefault="00F02F36" w:rsidP="00F02F36">
      <w:pPr>
        <w:ind w:left="360"/>
        <w:contextualSpacing/>
        <w:rPr>
          <w:rFonts w:ascii="Verdana" w:hAnsi="Verdana"/>
          <w:sz w:val="24"/>
        </w:rPr>
      </w:pPr>
    </w:p>
    <w:p w:rsidR="00F02F36" w:rsidRPr="00F02F36" w:rsidRDefault="00F02F36" w:rsidP="00F02F36">
      <w:pPr>
        <w:rPr>
          <w:rFonts w:ascii="Verdana" w:hAnsi="Verdana"/>
          <w:sz w:val="24"/>
        </w:rPr>
      </w:pPr>
      <w:r w:rsidRPr="00F02F36">
        <w:rPr>
          <w:rFonts w:ascii="Verdana" w:hAnsi="Verdana"/>
          <w:sz w:val="24"/>
        </w:rPr>
        <w:t xml:space="preserve">The key joint improvements identified within the Commissioning Intentions and EASC IMTP for Emergency Ambulance </w:t>
      </w:r>
      <w:r w:rsidR="00B909FF">
        <w:rPr>
          <w:rFonts w:ascii="Verdana" w:hAnsi="Verdana"/>
          <w:sz w:val="24"/>
        </w:rPr>
        <w:t>Services are:</w:t>
      </w:r>
    </w:p>
    <w:p w:rsidR="00F02F36" w:rsidRPr="00F02F36" w:rsidRDefault="00F02F36" w:rsidP="00B909FF">
      <w:pPr>
        <w:numPr>
          <w:ilvl w:val="0"/>
          <w:numId w:val="28"/>
        </w:numPr>
        <w:contextualSpacing/>
        <w:jc w:val="both"/>
        <w:rPr>
          <w:rFonts w:ascii="Verdana" w:hAnsi="Verdana"/>
          <w:sz w:val="24"/>
        </w:rPr>
      </w:pPr>
      <w:r w:rsidRPr="00F02F36">
        <w:rPr>
          <w:rFonts w:ascii="Verdana" w:hAnsi="Verdana"/>
          <w:sz w:val="24"/>
        </w:rPr>
        <w:t>Compliance with HCP time requests to improve across each health board area.</w:t>
      </w:r>
    </w:p>
    <w:p w:rsidR="00F02F36" w:rsidRPr="00F02F36" w:rsidRDefault="00F02F36" w:rsidP="00B909FF">
      <w:pPr>
        <w:numPr>
          <w:ilvl w:val="0"/>
          <w:numId w:val="28"/>
        </w:numPr>
        <w:contextualSpacing/>
        <w:jc w:val="both"/>
        <w:rPr>
          <w:rFonts w:ascii="Verdana" w:hAnsi="Verdana"/>
          <w:sz w:val="24"/>
        </w:rPr>
      </w:pPr>
      <w:r w:rsidRPr="00F02F36">
        <w:rPr>
          <w:rFonts w:ascii="Verdana" w:hAnsi="Verdana"/>
          <w:sz w:val="24"/>
        </w:rPr>
        <w:lastRenderedPageBreak/>
        <w:t>Proportion of conveyance to locations other than major Emergency Departments to increase across each health board area.</w:t>
      </w:r>
    </w:p>
    <w:p w:rsidR="00F02F36" w:rsidRPr="00F02F36" w:rsidRDefault="00F02F36" w:rsidP="00B909FF">
      <w:pPr>
        <w:numPr>
          <w:ilvl w:val="0"/>
          <w:numId w:val="28"/>
        </w:numPr>
        <w:contextualSpacing/>
        <w:jc w:val="both"/>
        <w:rPr>
          <w:rFonts w:ascii="Verdana" w:hAnsi="Verdana"/>
          <w:sz w:val="24"/>
        </w:rPr>
      </w:pPr>
      <w:r w:rsidRPr="00F02F36">
        <w:rPr>
          <w:rFonts w:ascii="Verdana" w:hAnsi="Verdana"/>
          <w:sz w:val="24"/>
        </w:rPr>
        <w:t>Proportion of patients referred to alternative pathways/services to increase following ‘hear and treat’ and ‘see and treat’.</w:t>
      </w:r>
    </w:p>
    <w:p w:rsidR="00F02F36" w:rsidRPr="00F02F36" w:rsidRDefault="00F02F36" w:rsidP="00B909FF">
      <w:pPr>
        <w:numPr>
          <w:ilvl w:val="0"/>
          <w:numId w:val="28"/>
        </w:numPr>
        <w:contextualSpacing/>
        <w:jc w:val="both"/>
        <w:rPr>
          <w:rFonts w:ascii="Verdana" w:hAnsi="Verdana"/>
          <w:sz w:val="24"/>
        </w:rPr>
      </w:pPr>
      <w:r w:rsidRPr="00F02F36">
        <w:rPr>
          <w:rFonts w:ascii="Verdana" w:hAnsi="Verdana"/>
          <w:sz w:val="24"/>
        </w:rPr>
        <w:t>Notification to handover times to reduce across all health board areas.</w:t>
      </w:r>
    </w:p>
    <w:p w:rsidR="00F02F36" w:rsidRPr="00F02F36" w:rsidRDefault="00F02F36" w:rsidP="00F02F36">
      <w:pPr>
        <w:ind w:left="720"/>
        <w:contextualSpacing/>
        <w:rPr>
          <w:rFonts w:ascii="Verdana" w:hAnsi="Verdana"/>
          <w:sz w:val="24"/>
        </w:rPr>
      </w:pPr>
      <w:r w:rsidRPr="00F02F36">
        <w:rPr>
          <w:rFonts w:ascii="Verdana" w:hAnsi="Verdana"/>
          <w:sz w:val="24"/>
        </w:rPr>
        <w:t> </w:t>
      </w:r>
    </w:p>
    <w:p w:rsidR="00F02F36" w:rsidRPr="00F02F36" w:rsidRDefault="00F02F36" w:rsidP="00F02F36">
      <w:pPr>
        <w:numPr>
          <w:ilvl w:val="0"/>
          <w:numId w:val="27"/>
        </w:numPr>
        <w:contextualSpacing/>
        <w:rPr>
          <w:rFonts w:ascii="Verdana" w:hAnsi="Verdana"/>
          <w:b/>
          <w:bCs/>
          <w:sz w:val="24"/>
        </w:rPr>
      </w:pPr>
      <w:r w:rsidRPr="00F02F36">
        <w:rPr>
          <w:rFonts w:ascii="Verdana" w:hAnsi="Verdana"/>
          <w:b/>
          <w:bCs/>
          <w:sz w:val="24"/>
        </w:rPr>
        <w:t>NEPTS WAST &amp; Health Board Joint Improvements (Table 2s)</w:t>
      </w:r>
    </w:p>
    <w:p w:rsidR="00F02F36" w:rsidRDefault="00F02F36" w:rsidP="00F02F36">
      <w:pPr>
        <w:rPr>
          <w:rFonts w:ascii="Verdana" w:hAnsi="Verdana" w:cs="Calibri"/>
          <w:sz w:val="24"/>
        </w:rPr>
      </w:pPr>
    </w:p>
    <w:p w:rsidR="00F02F36" w:rsidRPr="00B909FF" w:rsidRDefault="00F02F36" w:rsidP="00F02F36">
      <w:pPr>
        <w:rPr>
          <w:rFonts w:ascii="Verdana" w:hAnsi="Verdana" w:cs="Calibri"/>
          <w:sz w:val="24"/>
        </w:rPr>
      </w:pPr>
      <w:r w:rsidRPr="00F02F36">
        <w:rPr>
          <w:rFonts w:ascii="Verdana" w:hAnsi="Verdana" w:cs="Calibri"/>
          <w:sz w:val="24"/>
        </w:rPr>
        <w:t>The key joint improvements identified within the Commissioning Intentio</w:t>
      </w:r>
      <w:r w:rsidR="00B909FF">
        <w:rPr>
          <w:rFonts w:ascii="Verdana" w:hAnsi="Verdana" w:cs="Calibri"/>
          <w:sz w:val="24"/>
        </w:rPr>
        <w:t>ns and EASC IMTP for NEPTS are:</w:t>
      </w:r>
    </w:p>
    <w:p w:rsidR="00F02F36" w:rsidRPr="00F02F36" w:rsidRDefault="00F02F36" w:rsidP="00F02F36">
      <w:pPr>
        <w:numPr>
          <w:ilvl w:val="0"/>
          <w:numId w:val="29"/>
        </w:numPr>
        <w:contextualSpacing/>
        <w:rPr>
          <w:rFonts w:ascii="Verdana" w:hAnsi="Verdana" w:cs="Calibri"/>
          <w:sz w:val="22"/>
          <w:szCs w:val="22"/>
        </w:rPr>
      </w:pPr>
      <w:r w:rsidRPr="00F02F36">
        <w:rPr>
          <w:rFonts w:ascii="Verdana" w:hAnsi="Verdana" w:cs="Calibri"/>
          <w:sz w:val="24"/>
        </w:rPr>
        <w:t>Step 2 - improve the quality of booking information</w:t>
      </w:r>
    </w:p>
    <w:p w:rsidR="00F02F36" w:rsidRPr="00F02F36" w:rsidRDefault="00F02F36" w:rsidP="00F02F36">
      <w:pPr>
        <w:numPr>
          <w:ilvl w:val="0"/>
          <w:numId w:val="29"/>
        </w:numPr>
        <w:contextualSpacing/>
        <w:rPr>
          <w:rFonts w:ascii="Verdana" w:hAnsi="Verdana" w:cs="Calibri"/>
          <w:sz w:val="24"/>
        </w:rPr>
      </w:pPr>
      <w:r w:rsidRPr="00F02F36">
        <w:rPr>
          <w:rFonts w:ascii="Verdana" w:hAnsi="Verdana" w:cs="Calibri"/>
          <w:sz w:val="24"/>
        </w:rPr>
        <w:t>Step 4 - reduction in aborted journeys</w:t>
      </w:r>
    </w:p>
    <w:p w:rsidR="00F02F36" w:rsidRPr="00F02F36" w:rsidRDefault="00F02F36" w:rsidP="00F02F36">
      <w:pPr>
        <w:numPr>
          <w:ilvl w:val="0"/>
          <w:numId w:val="29"/>
        </w:numPr>
        <w:contextualSpacing/>
        <w:rPr>
          <w:rFonts w:ascii="Verdana" w:hAnsi="Verdana" w:cs="Calibri"/>
          <w:sz w:val="24"/>
        </w:rPr>
      </w:pPr>
      <w:r w:rsidRPr="00F02F36">
        <w:rPr>
          <w:rFonts w:ascii="Verdana" w:hAnsi="Verdana" w:cs="Calibri"/>
          <w:sz w:val="24"/>
        </w:rPr>
        <w:t>Step 4 - reduction in social journeys</w:t>
      </w:r>
    </w:p>
    <w:p w:rsidR="00F02F36" w:rsidRPr="00F02F36" w:rsidRDefault="00F02F36" w:rsidP="00F02F36">
      <w:pPr>
        <w:numPr>
          <w:ilvl w:val="0"/>
          <w:numId w:val="29"/>
        </w:numPr>
        <w:contextualSpacing/>
        <w:rPr>
          <w:rFonts w:ascii="Verdana" w:hAnsi="Verdana" w:cs="Calibri"/>
          <w:sz w:val="24"/>
        </w:rPr>
      </w:pPr>
      <w:r w:rsidRPr="00F02F36">
        <w:rPr>
          <w:rFonts w:ascii="Verdana" w:hAnsi="Verdana" w:cs="Calibri"/>
          <w:sz w:val="24"/>
        </w:rPr>
        <w:t>Step 4 - reduce failed discharges</w:t>
      </w:r>
    </w:p>
    <w:p w:rsidR="00F02F36" w:rsidRPr="00F02F36" w:rsidRDefault="00F02F36" w:rsidP="00F02F36">
      <w:pPr>
        <w:rPr>
          <w:rFonts w:ascii="Verdana" w:hAnsi="Verdana"/>
          <w:sz w:val="24"/>
        </w:rPr>
      </w:pPr>
      <w:r w:rsidRPr="00F02F36">
        <w:rPr>
          <w:rFonts w:ascii="Verdana" w:hAnsi="Verdana"/>
          <w:sz w:val="24"/>
        </w:rPr>
        <w:t> </w:t>
      </w:r>
    </w:p>
    <w:p w:rsidR="00F02F36" w:rsidRPr="00F02F36" w:rsidRDefault="00F02F36" w:rsidP="00F02F36">
      <w:pPr>
        <w:numPr>
          <w:ilvl w:val="0"/>
          <w:numId w:val="27"/>
        </w:numPr>
        <w:contextualSpacing/>
        <w:rPr>
          <w:rFonts w:ascii="Verdana" w:hAnsi="Verdana"/>
          <w:sz w:val="24"/>
        </w:rPr>
      </w:pPr>
      <w:r w:rsidRPr="00F02F36">
        <w:rPr>
          <w:rFonts w:ascii="Verdana" w:hAnsi="Verdana"/>
          <w:b/>
          <w:bCs/>
          <w:sz w:val="24"/>
        </w:rPr>
        <w:t>IMTP Items</w:t>
      </w:r>
    </w:p>
    <w:p w:rsidR="00F02F36" w:rsidRDefault="00F02F36" w:rsidP="00F02F36">
      <w:pPr>
        <w:rPr>
          <w:rFonts w:ascii="Verdana" w:hAnsi="Verdana"/>
          <w:sz w:val="24"/>
        </w:rPr>
      </w:pPr>
    </w:p>
    <w:p w:rsidR="00F02F36" w:rsidRPr="00F02F36" w:rsidRDefault="00F02F36" w:rsidP="00F02F36">
      <w:pPr>
        <w:rPr>
          <w:rFonts w:ascii="Verdana" w:hAnsi="Verdana"/>
          <w:sz w:val="24"/>
        </w:rPr>
      </w:pPr>
      <w:r w:rsidRPr="00F02F36">
        <w:rPr>
          <w:rFonts w:ascii="Verdana" w:hAnsi="Verdana"/>
          <w:sz w:val="24"/>
        </w:rPr>
        <w:t xml:space="preserve">The key items </w:t>
      </w:r>
      <w:r w:rsidR="00B909FF">
        <w:rPr>
          <w:rFonts w:ascii="Verdana" w:hAnsi="Verdana"/>
          <w:sz w:val="24"/>
        </w:rPr>
        <w:t>identified are:</w:t>
      </w:r>
    </w:p>
    <w:p w:rsidR="00F02F36" w:rsidRPr="00F02F36" w:rsidRDefault="00F02F36" w:rsidP="00F02F36">
      <w:pPr>
        <w:numPr>
          <w:ilvl w:val="0"/>
          <w:numId w:val="30"/>
        </w:numPr>
        <w:rPr>
          <w:rFonts w:ascii="Verdana" w:hAnsi="Verdana"/>
          <w:sz w:val="24"/>
        </w:rPr>
      </w:pPr>
      <w:r w:rsidRPr="00F02F36">
        <w:rPr>
          <w:rFonts w:ascii="Verdana" w:hAnsi="Verdana"/>
          <w:sz w:val="24"/>
        </w:rPr>
        <w:t>Future all Wales discharge &amp; transfer service model</w:t>
      </w:r>
    </w:p>
    <w:p w:rsidR="00F02F36" w:rsidRPr="00F02F36" w:rsidRDefault="00F02F36" w:rsidP="00F02F36">
      <w:pPr>
        <w:numPr>
          <w:ilvl w:val="0"/>
          <w:numId w:val="30"/>
        </w:numPr>
        <w:rPr>
          <w:rFonts w:ascii="Verdana" w:hAnsi="Verdana"/>
          <w:sz w:val="24"/>
        </w:rPr>
      </w:pPr>
      <w:r w:rsidRPr="00F02F36">
        <w:rPr>
          <w:rFonts w:ascii="Verdana" w:hAnsi="Verdana"/>
          <w:sz w:val="24"/>
        </w:rPr>
        <w:t>Additional Advanced Paramedic Practitioners (APP’s)</w:t>
      </w:r>
    </w:p>
    <w:p w:rsidR="00F02F36" w:rsidRPr="00F02F36" w:rsidRDefault="00F02F36" w:rsidP="00F02F36">
      <w:pPr>
        <w:jc w:val="both"/>
        <w:outlineLvl w:val="0"/>
        <w:rPr>
          <w:rFonts w:ascii="Verdana" w:hAnsi="Verdana" w:cs="Tahoma"/>
          <w:b/>
          <w:sz w:val="24"/>
        </w:rPr>
      </w:pPr>
    </w:p>
    <w:p w:rsidR="00F02F36" w:rsidRPr="00F02F36" w:rsidRDefault="00F02F36" w:rsidP="00F02F36">
      <w:pPr>
        <w:jc w:val="both"/>
        <w:outlineLvl w:val="0"/>
        <w:rPr>
          <w:rFonts w:ascii="Verdana" w:hAnsi="Verdana" w:cs="Tahoma"/>
          <w:b/>
          <w:sz w:val="24"/>
        </w:rPr>
      </w:pPr>
      <w:r w:rsidRPr="00F02F36">
        <w:rPr>
          <w:rFonts w:ascii="Verdana" w:hAnsi="Verdana" w:cs="Tahoma"/>
          <w:b/>
          <w:sz w:val="24"/>
        </w:rPr>
        <w:t xml:space="preserve">Process  </w:t>
      </w:r>
    </w:p>
    <w:p w:rsidR="00F02F36" w:rsidRDefault="00F02F36" w:rsidP="00F02F36">
      <w:pPr>
        <w:contextualSpacing/>
        <w:rPr>
          <w:rFonts w:ascii="Verdana" w:hAnsi="Verdana" w:cs="Tahoma"/>
          <w:sz w:val="24"/>
        </w:rPr>
      </w:pPr>
    </w:p>
    <w:p w:rsidR="00F02F36" w:rsidRPr="00F02F36" w:rsidRDefault="00F02F36" w:rsidP="00F02F36">
      <w:pPr>
        <w:contextualSpacing/>
        <w:rPr>
          <w:rFonts w:ascii="Verdana" w:hAnsi="Verdana" w:cs="Tahoma"/>
          <w:sz w:val="24"/>
        </w:rPr>
      </w:pPr>
      <w:r w:rsidRPr="00F02F36">
        <w:rPr>
          <w:rFonts w:ascii="Verdana" w:hAnsi="Verdana" w:cs="Tahoma"/>
          <w:sz w:val="24"/>
        </w:rPr>
        <w:t>The proposed process is as follows:</w:t>
      </w:r>
    </w:p>
    <w:p w:rsidR="00F02F36" w:rsidRPr="00F02F36" w:rsidRDefault="00F02F36" w:rsidP="00F02F36">
      <w:pPr>
        <w:numPr>
          <w:ilvl w:val="0"/>
          <w:numId w:val="32"/>
        </w:numPr>
        <w:contextualSpacing/>
        <w:rPr>
          <w:rFonts w:ascii="Verdana" w:hAnsi="Verdana" w:cs="Tahoma"/>
          <w:sz w:val="24"/>
        </w:rPr>
      </w:pPr>
      <w:r w:rsidRPr="00F02F36">
        <w:rPr>
          <w:rFonts w:ascii="Verdana" w:hAnsi="Verdana" w:cs="Tahoma"/>
          <w:sz w:val="24"/>
        </w:rPr>
        <w:t>End of March: Panel Formed</w:t>
      </w:r>
    </w:p>
    <w:p w:rsidR="00F02F36" w:rsidRPr="00F02F36" w:rsidRDefault="00F02F36" w:rsidP="00B909FF">
      <w:pPr>
        <w:numPr>
          <w:ilvl w:val="0"/>
          <w:numId w:val="32"/>
        </w:numPr>
        <w:contextualSpacing/>
        <w:jc w:val="both"/>
        <w:rPr>
          <w:rFonts w:ascii="Verdana" w:hAnsi="Verdana" w:cs="Tahoma"/>
          <w:sz w:val="24"/>
        </w:rPr>
      </w:pPr>
      <w:r w:rsidRPr="00F02F36">
        <w:rPr>
          <w:rFonts w:ascii="Verdana" w:hAnsi="Verdana" w:cs="Tahoma"/>
          <w:sz w:val="24"/>
        </w:rPr>
        <w:t xml:space="preserve">End of April: Panel undertakes initial reviews of completed table 2 submissions and seeks additional evidence where required – Virtual </w:t>
      </w:r>
    </w:p>
    <w:p w:rsidR="00F02F36" w:rsidRPr="00F02F36" w:rsidRDefault="00F02F36" w:rsidP="00B909FF">
      <w:pPr>
        <w:numPr>
          <w:ilvl w:val="0"/>
          <w:numId w:val="32"/>
        </w:numPr>
        <w:contextualSpacing/>
        <w:jc w:val="both"/>
        <w:rPr>
          <w:rFonts w:ascii="Verdana" w:hAnsi="Verdana" w:cs="Tahoma"/>
          <w:sz w:val="24"/>
        </w:rPr>
      </w:pPr>
      <w:r w:rsidRPr="00F02F36">
        <w:rPr>
          <w:rFonts w:ascii="Verdana" w:hAnsi="Verdana" w:cs="Tahoma"/>
          <w:sz w:val="24"/>
        </w:rPr>
        <w:t>End of May: Panel will meet to score submissions against Net Effect &amp; Quadruple Aim.</w:t>
      </w:r>
    </w:p>
    <w:p w:rsidR="00F02F36" w:rsidRPr="00F02F36" w:rsidRDefault="00F02F36" w:rsidP="00F02F36">
      <w:pPr>
        <w:numPr>
          <w:ilvl w:val="0"/>
          <w:numId w:val="32"/>
        </w:numPr>
        <w:contextualSpacing/>
        <w:rPr>
          <w:rFonts w:ascii="Verdana" w:hAnsi="Verdana" w:cs="Tahoma"/>
          <w:sz w:val="24"/>
        </w:rPr>
      </w:pPr>
      <w:r w:rsidRPr="00F02F36">
        <w:rPr>
          <w:rFonts w:ascii="Verdana" w:hAnsi="Verdana" w:cs="Tahoma"/>
          <w:sz w:val="24"/>
        </w:rPr>
        <w:t xml:space="preserve">Panel will make recommendations to EASC. </w:t>
      </w:r>
    </w:p>
    <w:p w:rsidR="00F02F36" w:rsidRPr="00F02F36" w:rsidRDefault="00F02F36" w:rsidP="00F02F36">
      <w:pPr>
        <w:contextualSpacing/>
        <w:rPr>
          <w:rFonts w:ascii="Verdana" w:hAnsi="Verdana" w:cs="Tahoma"/>
          <w:sz w:val="24"/>
        </w:rPr>
      </w:pPr>
    </w:p>
    <w:p w:rsidR="00F02F36" w:rsidRPr="00F02F36" w:rsidRDefault="00F02F36" w:rsidP="00F02F36">
      <w:pPr>
        <w:jc w:val="both"/>
        <w:outlineLvl w:val="0"/>
        <w:rPr>
          <w:rFonts w:ascii="Verdana" w:hAnsi="Verdana" w:cs="Tahoma"/>
          <w:b/>
          <w:sz w:val="24"/>
        </w:rPr>
      </w:pPr>
      <w:r w:rsidRPr="00F02F36">
        <w:rPr>
          <w:rFonts w:ascii="Verdana" w:hAnsi="Verdana" w:cs="Tahoma"/>
          <w:b/>
          <w:sz w:val="24"/>
        </w:rPr>
        <w:t>Principles</w:t>
      </w:r>
    </w:p>
    <w:p w:rsidR="00F02F36" w:rsidRDefault="00F02F36" w:rsidP="00F02F36">
      <w:pPr>
        <w:jc w:val="both"/>
        <w:outlineLvl w:val="0"/>
        <w:rPr>
          <w:rFonts w:ascii="Verdana" w:hAnsi="Verdana" w:cs="Tahoma"/>
          <w:sz w:val="24"/>
        </w:rPr>
      </w:pPr>
    </w:p>
    <w:p w:rsidR="00F02F36" w:rsidRPr="00F02F36" w:rsidRDefault="00F02F36" w:rsidP="00F02F36">
      <w:pPr>
        <w:jc w:val="both"/>
        <w:outlineLvl w:val="0"/>
        <w:rPr>
          <w:rFonts w:ascii="Verdana" w:hAnsi="Verdana" w:cs="Tahoma"/>
          <w:sz w:val="24"/>
        </w:rPr>
      </w:pPr>
      <w:r w:rsidRPr="00F02F36">
        <w:rPr>
          <w:rFonts w:ascii="Verdana" w:hAnsi="Verdana" w:cs="Tahoma"/>
          <w:sz w:val="24"/>
        </w:rPr>
        <w:t>These</w:t>
      </w:r>
      <w:r w:rsidR="00B909FF">
        <w:rPr>
          <w:rFonts w:ascii="Verdana" w:hAnsi="Verdana" w:cs="Tahoma"/>
          <w:sz w:val="24"/>
        </w:rPr>
        <w:t xml:space="preserve"> are proposed as the following:</w:t>
      </w:r>
    </w:p>
    <w:p w:rsidR="00F02F36" w:rsidRPr="00F02F36" w:rsidRDefault="00F02F36" w:rsidP="00F02F36">
      <w:pPr>
        <w:numPr>
          <w:ilvl w:val="0"/>
          <w:numId w:val="31"/>
        </w:numPr>
        <w:contextualSpacing/>
        <w:jc w:val="both"/>
        <w:outlineLvl w:val="0"/>
        <w:rPr>
          <w:rFonts w:ascii="Verdana" w:hAnsi="Verdana"/>
          <w:sz w:val="24"/>
        </w:rPr>
      </w:pPr>
      <w:r w:rsidRPr="00F02F36">
        <w:rPr>
          <w:rFonts w:ascii="Verdana" w:hAnsi="Verdana"/>
          <w:sz w:val="24"/>
        </w:rPr>
        <w:t>The panel will utilise consistent &amp; completed information which has been documented for the EASC and WAST IMTPs such as the Table 2s</w:t>
      </w:r>
    </w:p>
    <w:p w:rsidR="00F02F36" w:rsidRPr="00F02F36" w:rsidRDefault="00F02F36" w:rsidP="00F02F36">
      <w:pPr>
        <w:numPr>
          <w:ilvl w:val="0"/>
          <w:numId w:val="31"/>
        </w:numPr>
        <w:contextualSpacing/>
        <w:jc w:val="both"/>
        <w:outlineLvl w:val="0"/>
        <w:rPr>
          <w:rFonts w:ascii="Verdana" w:hAnsi="Verdana"/>
          <w:sz w:val="24"/>
        </w:rPr>
      </w:pPr>
      <w:r w:rsidRPr="00F02F36">
        <w:rPr>
          <w:rFonts w:ascii="Verdana" w:hAnsi="Verdana"/>
          <w:sz w:val="24"/>
        </w:rPr>
        <w:t>The panel will also utilise and consider evidence from elsewhere for the proposals in addition to the completed tables</w:t>
      </w:r>
    </w:p>
    <w:p w:rsidR="00F02F36" w:rsidRPr="00F02F36" w:rsidRDefault="00F02F36" w:rsidP="00F02F36">
      <w:pPr>
        <w:numPr>
          <w:ilvl w:val="0"/>
          <w:numId w:val="31"/>
        </w:numPr>
        <w:contextualSpacing/>
        <w:jc w:val="both"/>
        <w:outlineLvl w:val="0"/>
        <w:rPr>
          <w:rFonts w:ascii="Verdana" w:hAnsi="Verdana"/>
          <w:sz w:val="24"/>
        </w:rPr>
      </w:pPr>
      <w:r w:rsidRPr="00F02F36">
        <w:rPr>
          <w:rFonts w:ascii="Verdana" w:hAnsi="Verdana"/>
          <w:sz w:val="24"/>
        </w:rPr>
        <w:t xml:space="preserve">The panel will </w:t>
      </w:r>
      <w:r w:rsidRPr="00F02F36">
        <w:rPr>
          <w:rFonts w:ascii="Verdana" w:hAnsi="Verdana" w:cs="Tahoma"/>
          <w:sz w:val="24"/>
        </w:rPr>
        <w:t>evaluate and evidence the alignment with the Healthier Wales’ Quadruple Aim in the use of the additional funding across the themes of:</w:t>
      </w:r>
    </w:p>
    <w:p w:rsidR="00F02F36" w:rsidRPr="00F02F36" w:rsidRDefault="00F02F36" w:rsidP="00F02F36">
      <w:pPr>
        <w:numPr>
          <w:ilvl w:val="1"/>
          <w:numId w:val="31"/>
        </w:numPr>
        <w:contextualSpacing/>
        <w:jc w:val="both"/>
        <w:outlineLvl w:val="0"/>
        <w:rPr>
          <w:rFonts w:ascii="Verdana" w:hAnsi="Verdana" w:cs="Tahoma"/>
          <w:sz w:val="24"/>
        </w:rPr>
      </w:pPr>
      <w:r w:rsidRPr="00F02F36">
        <w:rPr>
          <w:rFonts w:ascii="Verdana" w:hAnsi="Verdana" w:cs="Tahoma"/>
          <w:sz w:val="24"/>
        </w:rPr>
        <w:t>staff engagement</w:t>
      </w:r>
    </w:p>
    <w:p w:rsidR="00F02F36" w:rsidRPr="00F02F36" w:rsidRDefault="00F02F36" w:rsidP="00F02F36">
      <w:pPr>
        <w:numPr>
          <w:ilvl w:val="1"/>
          <w:numId w:val="31"/>
        </w:numPr>
        <w:contextualSpacing/>
        <w:jc w:val="both"/>
        <w:outlineLvl w:val="0"/>
        <w:rPr>
          <w:rFonts w:ascii="Verdana" w:hAnsi="Verdana" w:cs="Tahoma"/>
          <w:sz w:val="24"/>
        </w:rPr>
      </w:pPr>
      <w:r w:rsidRPr="00F02F36">
        <w:rPr>
          <w:rFonts w:ascii="Verdana" w:hAnsi="Verdana" w:cs="Tahoma"/>
          <w:sz w:val="24"/>
        </w:rPr>
        <w:t>patient experience</w:t>
      </w:r>
    </w:p>
    <w:p w:rsidR="00F02F36" w:rsidRPr="00F02F36" w:rsidRDefault="00F02F36" w:rsidP="00F02F36">
      <w:pPr>
        <w:numPr>
          <w:ilvl w:val="1"/>
          <w:numId w:val="31"/>
        </w:numPr>
        <w:contextualSpacing/>
        <w:jc w:val="both"/>
        <w:outlineLvl w:val="0"/>
        <w:rPr>
          <w:rFonts w:ascii="Verdana" w:hAnsi="Verdana" w:cs="Tahoma"/>
          <w:sz w:val="24"/>
        </w:rPr>
      </w:pPr>
      <w:r w:rsidRPr="00F02F36">
        <w:rPr>
          <w:rFonts w:ascii="Verdana" w:hAnsi="Verdana" w:cs="Tahoma"/>
          <w:sz w:val="24"/>
        </w:rPr>
        <w:t>clinical outcomes</w:t>
      </w:r>
    </w:p>
    <w:p w:rsidR="00F02F36" w:rsidRPr="00F02F36" w:rsidRDefault="00F02F36" w:rsidP="00F02F36">
      <w:pPr>
        <w:numPr>
          <w:ilvl w:val="1"/>
          <w:numId w:val="31"/>
        </w:numPr>
        <w:contextualSpacing/>
        <w:jc w:val="both"/>
        <w:outlineLvl w:val="0"/>
        <w:rPr>
          <w:rFonts w:ascii="Verdana" w:hAnsi="Verdana" w:cs="Tahoma"/>
          <w:sz w:val="24"/>
        </w:rPr>
      </w:pPr>
      <w:r w:rsidRPr="00F02F36">
        <w:rPr>
          <w:rFonts w:ascii="Verdana" w:hAnsi="Verdana" w:cs="Tahoma"/>
          <w:sz w:val="24"/>
        </w:rPr>
        <w:t>value for money, innovation and eliminating waste</w:t>
      </w:r>
    </w:p>
    <w:p w:rsidR="00F02F36" w:rsidRPr="00F02F36" w:rsidRDefault="00F02F36" w:rsidP="00F02F36">
      <w:pPr>
        <w:numPr>
          <w:ilvl w:val="0"/>
          <w:numId w:val="31"/>
        </w:numPr>
        <w:contextualSpacing/>
        <w:rPr>
          <w:rFonts w:ascii="Verdana" w:hAnsi="Verdana"/>
          <w:sz w:val="24"/>
        </w:rPr>
      </w:pPr>
      <w:r w:rsidRPr="00F02F36">
        <w:rPr>
          <w:rFonts w:ascii="Verdana" w:hAnsi="Verdana"/>
          <w:sz w:val="24"/>
        </w:rPr>
        <w:t xml:space="preserve">The panel evaluate the proposed and funded schemes against the Net Effect of impact on Activity Resources &amp; Performance plus the Quadruple Aim. </w:t>
      </w:r>
    </w:p>
    <w:p w:rsidR="00F02F36" w:rsidRPr="00F02F36" w:rsidRDefault="00F02F36" w:rsidP="00F02F36">
      <w:pPr>
        <w:numPr>
          <w:ilvl w:val="0"/>
          <w:numId w:val="31"/>
        </w:numPr>
        <w:contextualSpacing/>
        <w:jc w:val="both"/>
        <w:outlineLvl w:val="0"/>
        <w:rPr>
          <w:rFonts w:ascii="Verdana" w:hAnsi="Verdana"/>
          <w:sz w:val="24"/>
        </w:rPr>
      </w:pPr>
      <w:r w:rsidRPr="00F02F36">
        <w:rPr>
          <w:rFonts w:ascii="Verdana" w:hAnsi="Verdana"/>
          <w:sz w:val="24"/>
        </w:rPr>
        <w:t>EASC will set aside an element of the 1% to pump prime any enabling work and set up for the initiative – this is suggest to equal 0.33% reflecting 1/3 of year April to July lead in time</w:t>
      </w:r>
    </w:p>
    <w:p w:rsidR="00F02F36" w:rsidRPr="00F02F36" w:rsidRDefault="00F02F36" w:rsidP="00F02F36">
      <w:pPr>
        <w:numPr>
          <w:ilvl w:val="0"/>
          <w:numId w:val="31"/>
        </w:numPr>
        <w:ind w:left="426" w:hanging="426"/>
        <w:contextualSpacing/>
        <w:jc w:val="both"/>
        <w:outlineLvl w:val="0"/>
        <w:rPr>
          <w:rFonts w:ascii="Verdana" w:hAnsi="Verdana"/>
          <w:sz w:val="24"/>
        </w:rPr>
      </w:pPr>
      <w:r w:rsidRPr="00F02F36">
        <w:rPr>
          <w:rFonts w:ascii="Verdana" w:hAnsi="Verdana"/>
          <w:sz w:val="24"/>
        </w:rPr>
        <w:lastRenderedPageBreak/>
        <w:t>The 1% will apply individually to Emergency Ambulance Services and to NEPTS</w:t>
      </w:r>
    </w:p>
    <w:p w:rsidR="00F02F36" w:rsidRPr="00F02F36" w:rsidRDefault="00F02F36" w:rsidP="00F02F36">
      <w:pPr>
        <w:numPr>
          <w:ilvl w:val="0"/>
          <w:numId w:val="31"/>
        </w:numPr>
        <w:ind w:left="426" w:hanging="426"/>
        <w:contextualSpacing/>
        <w:jc w:val="both"/>
        <w:outlineLvl w:val="0"/>
        <w:rPr>
          <w:rFonts w:ascii="Verdana" w:hAnsi="Verdana"/>
          <w:sz w:val="24"/>
        </w:rPr>
      </w:pPr>
      <w:r w:rsidRPr="00F02F36">
        <w:rPr>
          <w:rFonts w:ascii="Verdana" w:hAnsi="Verdana"/>
          <w:sz w:val="24"/>
        </w:rPr>
        <w:t xml:space="preserve">EASC doesn’t use the 1% on the WAST Improvements as set out within the Commissioning Intentions and agreed IMTPs, as improvements in the resource utilisation improvements by WAST should finance these as shown in the following table:- </w:t>
      </w:r>
    </w:p>
    <w:p w:rsidR="00F02F36" w:rsidRDefault="00F02F36" w:rsidP="00697C02">
      <w:pPr>
        <w:pStyle w:val="BodyText"/>
        <w:spacing w:before="64" w:line="244" w:lineRule="auto"/>
        <w:ind w:left="0"/>
        <w:jc w:val="both"/>
        <w:rPr>
          <w:b/>
          <w:sz w:val="24"/>
          <w:szCs w:val="24"/>
        </w:rPr>
      </w:pPr>
    </w:p>
    <w:tbl>
      <w:tblPr>
        <w:tblpPr w:leftFromText="180" w:rightFromText="180" w:vertAnchor="text" w:tblpX="-44"/>
        <w:tblW w:w="9757" w:type="dxa"/>
        <w:tblCellMar>
          <w:left w:w="0" w:type="dxa"/>
          <w:right w:w="0" w:type="dxa"/>
        </w:tblCellMar>
        <w:tblLook w:val="04A0" w:firstRow="1" w:lastRow="0" w:firstColumn="1" w:lastColumn="0" w:noHBand="0" w:noVBand="1"/>
      </w:tblPr>
      <w:tblGrid>
        <w:gridCol w:w="4878"/>
        <w:gridCol w:w="4879"/>
      </w:tblGrid>
      <w:tr w:rsidR="00F02F36" w:rsidRPr="00F02F36" w:rsidTr="004D70F0">
        <w:trPr>
          <w:trHeight w:val="274"/>
        </w:trPr>
        <w:tc>
          <w:tcPr>
            <w:tcW w:w="4878" w:type="dxa"/>
            <w:tcBorders>
              <w:top w:val="single" w:sz="8" w:space="0" w:color="17365D"/>
              <w:left w:val="single" w:sz="8" w:space="0" w:color="17365D"/>
              <w:bottom w:val="single" w:sz="8" w:space="0" w:color="17365D"/>
              <w:right w:val="single" w:sz="8" w:space="0" w:color="17365D"/>
            </w:tcBorders>
            <w:tcMar>
              <w:top w:w="0" w:type="dxa"/>
              <w:left w:w="108" w:type="dxa"/>
              <w:bottom w:w="0" w:type="dxa"/>
              <w:right w:w="108" w:type="dxa"/>
            </w:tcMar>
            <w:hideMark/>
          </w:tcPr>
          <w:p w:rsidR="00F02F36" w:rsidRPr="004D70F0" w:rsidRDefault="00F02F36" w:rsidP="004D70F0">
            <w:pPr>
              <w:jc w:val="center"/>
              <w:rPr>
                <w:rFonts w:ascii="Verdana" w:hAnsi="Verdana"/>
                <w:b/>
                <w:bCs/>
                <w:color w:val="0F243E"/>
                <w:sz w:val="24"/>
                <w:szCs w:val="20"/>
              </w:rPr>
            </w:pPr>
            <w:r w:rsidRPr="004D70F0">
              <w:rPr>
                <w:rFonts w:ascii="Verdana" w:hAnsi="Verdana"/>
                <w:b/>
                <w:bCs/>
                <w:color w:val="0F243E"/>
                <w:sz w:val="24"/>
                <w:szCs w:val="20"/>
              </w:rPr>
              <w:t>Resources Utilisation Improvements</w:t>
            </w:r>
          </w:p>
        </w:tc>
        <w:tc>
          <w:tcPr>
            <w:tcW w:w="4879" w:type="dxa"/>
            <w:tcBorders>
              <w:top w:val="single" w:sz="8" w:space="0" w:color="17365D"/>
              <w:left w:val="nil"/>
              <w:bottom w:val="single" w:sz="8" w:space="0" w:color="17365D"/>
              <w:right w:val="single" w:sz="8" w:space="0" w:color="17365D"/>
            </w:tcBorders>
            <w:tcMar>
              <w:top w:w="0" w:type="dxa"/>
              <w:left w:w="108" w:type="dxa"/>
              <w:bottom w:w="0" w:type="dxa"/>
              <w:right w:w="108" w:type="dxa"/>
            </w:tcMar>
            <w:hideMark/>
          </w:tcPr>
          <w:p w:rsidR="00F02F36" w:rsidRPr="004D70F0" w:rsidRDefault="00F02F36" w:rsidP="004D70F0">
            <w:pPr>
              <w:jc w:val="center"/>
              <w:rPr>
                <w:rFonts w:ascii="Verdana" w:hAnsi="Verdana"/>
                <w:b/>
                <w:bCs/>
                <w:color w:val="0F243E"/>
                <w:sz w:val="24"/>
                <w:szCs w:val="20"/>
              </w:rPr>
            </w:pPr>
            <w:r w:rsidRPr="004D70F0">
              <w:rPr>
                <w:rFonts w:ascii="Verdana" w:hAnsi="Verdana"/>
                <w:b/>
                <w:bCs/>
                <w:color w:val="0F243E"/>
                <w:sz w:val="24"/>
                <w:szCs w:val="20"/>
              </w:rPr>
              <w:t>Performance Improvements</w:t>
            </w:r>
          </w:p>
        </w:tc>
      </w:tr>
      <w:tr w:rsidR="00F02F36" w:rsidRPr="00F02F36" w:rsidTr="004D70F0">
        <w:trPr>
          <w:trHeight w:val="1358"/>
        </w:trPr>
        <w:tc>
          <w:tcPr>
            <w:tcW w:w="4878" w:type="dxa"/>
            <w:tcBorders>
              <w:top w:val="nil"/>
              <w:left w:val="single" w:sz="8" w:space="0" w:color="17365D"/>
              <w:bottom w:val="single" w:sz="8" w:space="0" w:color="17365D"/>
              <w:right w:val="single" w:sz="8" w:space="0" w:color="17365D"/>
            </w:tcBorders>
            <w:tcMar>
              <w:top w:w="0" w:type="dxa"/>
              <w:left w:w="108" w:type="dxa"/>
              <w:bottom w:w="0" w:type="dxa"/>
              <w:right w:w="108" w:type="dxa"/>
            </w:tcMar>
          </w:tcPr>
          <w:p w:rsidR="00F02F36" w:rsidRPr="004D70F0" w:rsidRDefault="00F02F36" w:rsidP="004D70F0">
            <w:pPr>
              <w:numPr>
                <w:ilvl w:val="0"/>
                <w:numId w:val="33"/>
              </w:numPr>
              <w:contextualSpacing/>
              <w:rPr>
                <w:rFonts w:ascii="Verdana" w:hAnsi="Verdana"/>
                <w:color w:val="0F243E"/>
                <w:sz w:val="24"/>
                <w:szCs w:val="20"/>
              </w:rPr>
            </w:pPr>
            <w:r w:rsidRPr="004D70F0">
              <w:rPr>
                <w:rFonts w:ascii="Verdana" w:hAnsi="Verdana"/>
                <w:color w:val="0F243E"/>
                <w:sz w:val="24"/>
                <w:szCs w:val="20"/>
              </w:rPr>
              <w:t>sickness rates reduced for all direct staff across each of the steps</w:t>
            </w:r>
          </w:p>
          <w:p w:rsidR="00F02F36" w:rsidRPr="004D70F0" w:rsidRDefault="00F02F36" w:rsidP="004D70F0">
            <w:pPr>
              <w:numPr>
                <w:ilvl w:val="0"/>
                <w:numId w:val="33"/>
              </w:numPr>
              <w:contextualSpacing/>
              <w:rPr>
                <w:rFonts w:ascii="Verdana" w:hAnsi="Verdana"/>
                <w:color w:val="0F243E"/>
                <w:sz w:val="24"/>
                <w:szCs w:val="20"/>
              </w:rPr>
            </w:pPr>
            <w:r w:rsidRPr="004D70F0">
              <w:rPr>
                <w:rFonts w:ascii="Verdana" w:hAnsi="Verdana"/>
                <w:color w:val="0F243E"/>
                <w:sz w:val="24"/>
                <w:szCs w:val="20"/>
              </w:rPr>
              <w:t>overtime use to reduce</w:t>
            </w:r>
          </w:p>
          <w:p w:rsidR="00F02F36" w:rsidRPr="004D70F0" w:rsidRDefault="00F02F36" w:rsidP="004D70F0">
            <w:pPr>
              <w:numPr>
                <w:ilvl w:val="0"/>
                <w:numId w:val="33"/>
              </w:numPr>
              <w:contextualSpacing/>
              <w:rPr>
                <w:rFonts w:ascii="Verdana" w:hAnsi="Verdana"/>
                <w:color w:val="0F243E"/>
                <w:sz w:val="24"/>
                <w:szCs w:val="20"/>
              </w:rPr>
            </w:pPr>
            <w:r w:rsidRPr="004D70F0">
              <w:rPr>
                <w:rFonts w:ascii="Verdana" w:hAnsi="Verdana"/>
                <w:color w:val="0F243E"/>
                <w:sz w:val="24"/>
                <w:szCs w:val="20"/>
              </w:rPr>
              <w:t>use of external providers to be reduced</w:t>
            </w:r>
          </w:p>
          <w:p w:rsidR="00F02F36" w:rsidRPr="004D70F0" w:rsidRDefault="00F02F36" w:rsidP="004D70F0">
            <w:pPr>
              <w:numPr>
                <w:ilvl w:val="0"/>
                <w:numId w:val="33"/>
              </w:numPr>
              <w:contextualSpacing/>
              <w:rPr>
                <w:rFonts w:ascii="Verdana" w:hAnsi="Verdana"/>
                <w:color w:val="0F243E"/>
                <w:sz w:val="24"/>
                <w:szCs w:val="20"/>
              </w:rPr>
            </w:pPr>
            <w:r w:rsidRPr="004D70F0">
              <w:rPr>
                <w:rFonts w:ascii="Verdana" w:hAnsi="Verdana"/>
                <w:color w:val="0F243E"/>
                <w:sz w:val="24"/>
                <w:szCs w:val="20"/>
              </w:rPr>
              <w:t>rosters aligned to demand (across days and time of day) for direct staff across each step</w:t>
            </w:r>
          </w:p>
          <w:p w:rsidR="00F02F36" w:rsidRPr="004D70F0" w:rsidRDefault="00F02F36" w:rsidP="004D70F0">
            <w:pPr>
              <w:numPr>
                <w:ilvl w:val="0"/>
                <w:numId w:val="33"/>
              </w:numPr>
              <w:contextualSpacing/>
              <w:rPr>
                <w:rFonts w:ascii="Verdana" w:hAnsi="Verdana"/>
                <w:color w:val="0F243E"/>
                <w:sz w:val="24"/>
                <w:szCs w:val="20"/>
              </w:rPr>
            </w:pPr>
            <w:r w:rsidRPr="004D70F0">
              <w:rPr>
                <w:rFonts w:ascii="Verdana" w:hAnsi="Verdana"/>
                <w:color w:val="0F243E"/>
                <w:sz w:val="24"/>
                <w:szCs w:val="20"/>
              </w:rPr>
              <w:t>compliance with planned (</w:t>
            </w:r>
            <w:r w:rsidRPr="004D70F0">
              <w:rPr>
                <w:rFonts w:ascii="Verdana" w:hAnsi="Verdana"/>
                <w:color w:val="0F243E"/>
                <w:sz w:val="24"/>
                <w:szCs w:val="20"/>
                <w:u w:val="single"/>
              </w:rPr>
              <w:t>that is the new</w:t>
            </w:r>
            <w:r w:rsidRPr="004D70F0">
              <w:rPr>
                <w:rFonts w:ascii="Verdana" w:hAnsi="Verdana"/>
                <w:color w:val="0F243E"/>
                <w:sz w:val="24"/>
                <w:szCs w:val="20"/>
              </w:rPr>
              <w:t>) rosters to increase</w:t>
            </w:r>
          </w:p>
          <w:p w:rsidR="00F02F36" w:rsidRPr="004D70F0" w:rsidRDefault="00F02F36" w:rsidP="004D70F0">
            <w:pPr>
              <w:numPr>
                <w:ilvl w:val="0"/>
                <w:numId w:val="33"/>
              </w:numPr>
              <w:contextualSpacing/>
              <w:rPr>
                <w:rFonts w:ascii="Verdana" w:hAnsi="Verdana"/>
                <w:color w:val="222A35"/>
                <w:sz w:val="24"/>
                <w:szCs w:val="20"/>
              </w:rPr>
            </w:pPr>
            <w:r w:rsidRPr="004D70F0">
              <w:rPr>
                <w:rFonts w:ascii="Verdana" w:hAnsi="Verdana"/>
                <w:color w:val="222A35"/>
                <w:sz w:val="24"/>
                <w:szCs w:val="20"/>
              </w:rPr>
              <w:t>Proportion of spend will shift from Steps 5 &amp; 4 to Steps 3 &amp; 2</w:t>
            </w:r>
          </w:p>
          <w:p w:rsidR="00F02F36" w:rsidRPr="004D70F0" w:rsidRDefault="00F02F36" w:rsidP="004D70F0">
            <w:pPr>
              <w:numPr>
                <w:ilvl w:val="0"/>
                <w:numId w:val="33"/>
              </w:numPr>
              <w:contextualSpacing/>
              <w:rPr>
                <w:rFonts w:ascii="Verdana" w:hAnsi="Verdana"/>
                <w:color w:val="222A35"/>
                <w:sz w:val="24"/>
                <w:szCs w:val="20"/>
              </w:rPr>
            </w:pPr>
            <w:r w:rsidRPr="004D70F0">
              <w:rPr>
                <w:rFonts w:ascii="Verdana" w:hAnsi="Verdana"/>
                <w:color w:val="222A35"/>
                <w:sz w:val="24"/>
                <w:szCs w:val="20"/>
              </w:rPr>
              <w:t>Reduced spend on operating expenses</w:t>
            </w:r>
          </w:p>
          <w:p w:rsidR="00F02F36" w:rsidRPr="004D70F0" w:rsidRDefault="00F02F36" w:rsidP="004D70F0">
            <w:pPr>
              <w:numPr>
                <w:ilvl w:val="0"/>
                <w:numId w:val="33"/>
              </w:numPr>
              <w:contextualSpacing/>
              <w:rPr>
                <w:rFonts w:ascii="Verdana" w:hAnsi="Verdana"/>
                <w:color w:val="222A35"/>
                <w:sz w:val="24"/>
                <w:szCs w:val="20"/>
              </w:rPr>
            </w:pPr>
            <w:r w:rsidRPr="004D70F0">
              <w:rPr>
                <w:rFonts w:ascii="Verdana" w:hAnsi="Verdana"/>
                <w:color w:val="222A35"/>
                <w:sz w:val="24"/>
                <w:szCs w:val="20"/>
              </w:rPr>
              <w:t>Known ‘Net Effect’ in terms of activity impact, resource impact and performance impact from all initiatives</w:t>
            </w:r>
          </w:p>
          <w:p w:rsidR="00F02F36" w:rsidRPr="004D70F0" w:rsidRDefault="00F02F36" w:rsidP="004D70F0">
            <w:pPr>
              <w:rPr>
                <w:rFonts w:ascii="Verdana" w:hAnsi="Verdana"/>
                <w:color w:val="244061"/>
                <w:sz w:val="24"/>
                <w:szCs w:val="20"/>
              </w:rPr>
            </w:pPr>
          </w:p>
          <w:p w:rsidR="00F02F36" w:rsidRPr="004D70F0" w:rsidRDefault="00F02F36" w:rsidP="004D70F0">
            <w:pPr>
              <w:rPr>
                <w:rFonts w:ascii="Verdana" w:hAnsi="Verdana"/>
                <w:color w:val="244061"/>
                <w:sz w:val="24"/>
                <w:szCs w:val="20"/>
              </w:rPr>
            </w:pPr>
          </w:p>
        </w:tc>
        <w:tc>
          <w:tcPr>
            <w:tcW w:w="4879" w:type="dxa"/>
            <w:tcBorders>
              <w:top w:val="nil"/>
              <w:left w:val="nil"/>
              <w:bottom w:val="single" w:sz="8" w:space="0" w:color="17365D"/>
              <w:right w:val="single" w:sz="8" w:space="0" w:color="17365D"/>
            </w:tcBorders>
            <w:tcMar>
              <w:top w:w="0" w:type="dxa"/>
              <w:left w:w="108" w:type="dxa"/>
              <w:bottom w:w="0" w:type="dxa"/>
              <w:right w:w="108" w:type="dxa"/>
            </w:tcMar>
            <w:hideMark/>
          </w:tcPr>
          <w:p w:rsidR="00F02F36" w:rsidRPr="004D70F0" w:rsidRDefault="00F02F36" w:rsidP="004D70F0">
            <w:pPr>
              <w:rPr>
                <w:rFonts w:ascii="Verdana" w:hAnsi="Verdana"/>
                <w:b/>
                <w:bCs/>
                <w:i/>
                <w:iCs/>
                <w:color w:val="222A35"/>
                <w:sz w:val="24"/>
                <w:szCs w:val="20"/>
              </w:rPr>
            </w:pPr>
            <w:r w:rsidRPr="004D70F0">
              <w:rPr>
                <w:rFonts w:ascii="Verdana" w:hAnsi="Verdana"/>
                <w:b/>
                <w:bCs/>
                <w:i/>
                <w:iCs/>
                <w:color w:val="222A35"/>
                <w:sz w:val="24"/>
                <w:szCs w:val="20"/>
              </w:rPr>
              <w:t>Step 2</w:t>
            </w:r>
          </w:p>
          <w:p w:rsidR="00F02F36" w:rsidRPr="004D70F0" w:rsidRDefault="00F02F36" w:rsidP="004D70F0">
            <w:pPr>
              <w:numPr>
                <w:ilvl w:val="0"/>
                <w:numId w:val="34"/>
              </w:numPr>
              <w:ind w:left="360"/>
              <w:contextualSpacing/>
              <w:rPr>
                <w:rFonts w:ascii="Verdana" w:hAnsi="Verdana"/>
                <w:color w:val="222A35"/>
                <w:sz w:val="24"/>
                <w:szCs w:val="20"/>
                <w:lang w:eastAsia="en-US"/>
              </w:rPr>
            </w:pPr>
            <w:r w:rsidRPr="004D70F0">
              <w:rPr>
                <w:rFonts w:ascii="Verdana" w:hAnsi="Verdana"/>
                <w:color w:val="222A35"/>
                <w:sz w:val="24"/>
                <w:szCs w:val="20"/>
              </w:rPr>
              <w:t>Time to allocation for Red calls to reduce</w:t>
            </w:r>
          </w:p>
          <w:p w:rsidR="00F02F36" w:rsidRPr="004D70F0" w:rsidRDefault="00F02F36" w:rsidP="004D70F0">
            <w:pPr>
              <w:numPr>
                <w:ilvl w:val="0"/>
                <w:numId w:val="34"/>
              </w:numPr>
              <w:ind w:left="360"/>
              <w:contextualSpacing/>
              <w:rPr>
                <w:rFonts w:ascii="Verdana" w:hAnsi="Verdana"/>
                <w:color w:val="222A35"/>
                <w:sz w:val="24"/>
                <w:szCs w:val="20"/>
              </w:rPr>
            </w:pPr>
            <w:r w:rsidRPr="004D70F0">
              <w:rPr>
                <w:rFonts w:ascii="Verdana" w:hAnsi="Verdana"/>
                <w:color w:val="222A35"/>
                <w:sz w:val="24"/>
                <w:szCs w:val="20"/>
              </w:rPr>
              <w:t>The volume of calls assessed and closed by the clinical desk to increase</w:t>
            </w:r>
          </w:p>
          <w:p w:rsidR="00F02F36" w:rsidRPr="004D70F0" w:rsidRDefault="00F02F36" w:rsidP="004D70F0">
            <w:pPr>
              <w:rPr>
                <w:rFonts w:ascii="Verdana" w:hAnsi="Verdana"/>
                <w:b/>
                <w:bCs/>
                <w:i/>
                <w:iCs/>
                <w:color w:val="222A35"/>
                <w:sz w:val="24"/>
                <w:szCs w:val="20"/>
              </w:rPr>
            </w:pPr>
            <w:r w:rsidRPr="004D70F0">
              <w:rPr>
                <w:rFonts w:ascii="Verdana" w:hAnsi="Verdana"/>
                <w:b/>
                <w:bCs/>
                <w:i/>
                <w:iCs/>
                <w:color w:val="222A35"/>
                <w:sz w:val="24"/>
                <w:szCs w:val="20"/>
              </w:rPr>
              <w:t>Step 3</w:t>
            </w:r>
          </w:p>
          <w:p w:rsidR="00F02F36" w:rsidRPr="004D70F0" w:rsidRDefault="00F02F36" w:rsidP="004D70F0">
            <w:pPr>
              <w:numPr>
                <w:ilvl w:val="0"/>
                <w:numId w:val="34"/>
              </w:numPr>
              <w:ind w:left="360"/>
              <w:contextualSpacing/>
              <w:rPr>
                <w:rFonts w:ascii="Verdana" w:hAnsi="Verdana"/>
                <w:color w:val="222A35"/>
                <w:sz w:val="24"/>
                <w:szCs w:val="20"/>
                <w:lang w:eastAsia="en-US"/>
              </w:rPr>
            </w:pPr>
            <w:r w:rsidRPr="004D70F0">
              <w:rPr>
                <w:rFonts w:ascii="Verdana" w:hAnsi="Verdana"/>
                <w:color w:val="222A35"/>
                <w:sz w:val="24"/>
                <w:szCs w:val="20"/>
              </w:rPr>
              <w:t>Multiple vehicle arrivals at scene to reduce for Amber and Green Incide</w:t>
            </w:r>
            <w:bookmarkStart w:id="0" w:name="_GoBack"/>
            <w:bookmarkEnd w:id="0"/>
            <w:r w:rsidRPr="004D70F0">
              <w:rPr>
                <w:rFonts w:ascii="Verdana" w:hAnsi="Verdana"/>
                <w:color w:val="222A35"/>
                <w:sz w:val="24"/>
                <w:szCs w:val="20"/>
              </w:rPr>
              <w:t>nts</w:t>
            </w:r>
          </w:p>
          <w:p w:rsidR="00F02F36" w:rsidRPr="004D70F0" w:rsidRDefault="00F02F36" w:rsidP="004D70F0">
            <w:pPr>
              <w:numPr>
                <w:ilvl w:val="0"/>
                <w:numId w:val="34"/>
              </w:numPr>
              <w:ind w:left="360"/>
              <w:contextualSpacing/>
              <w:rPr>
                <w:rFonts w:ascii="Verdana" w:hAnsi="Verdana"/>
                <w:color w:val="222A35"/>
                <w:sz w:val="24"/>
                <w:szCs w:val="20"/>
              </w:rPr>
            </w:pPr>
            <w:r w:rsidRPr="004D70F0">
              <w:rPr>
                <w:rFonts w:ascii="Verdana" w:hAnsi="Verdana"/>
                <w:color w:val="222A35"/>
                <w:sz w:val="24"/>
                <w:szCs w:val="20"/>
              </w:rPr>
              <w:t>The percentage of incidents where the first arriving vehicle is the ideal to increase</w:t>
            </w:r>
          </w:p>
          <w:p w:rsidR="00F02F36" w:rsidRPr="004D70F0" w:rsidRDefault="00F02F36" w:rsidP="004D70F0">
            <w:pPr>
              <w:numPr>
                <w:ilvl w:val="0"/>
                <w:numId w:val="34"/>
              </w:numPr>
              <w:ind w:left="360"/>
              <w:contextualSpacing/>
              <w:rPr>
                <w:rFonts w:ascii="Verdana" w:hAnsi="Verdana"/>
                <w:color w:val="222A35"/>
                <w:sz w:val="24"/>
                <w:szCs w:val="20"/>
              </w:rPr>
            </w:pPr>
            <w:r w:rsidRPr="004D70F0">
              <w:rPr>
                <w:rFonts w:ascii="Verdana" w:hAnsi="Verdana"/>
                <w:color w:val="222A35"/>
                <w:sz w:val="24"/>
                <w:szCs w:val="20"/>
              </w:rPr>
              <w:t>Red performance to be maintained and the 95</w:t>
            </w:r>
            <w:r w:rsidRPr="004D70F0">
              <w:rPr>
                <w:rFonts w:ascii="Verdana" w:hAnsi="Verdana"/>
                <w:color w:val="222A35"/>
                <w:sz w:val="24"/>
                <w:szCs w:val="20"/>
                <w:vertAlign w:val="superscript"/>
              </w:rPr>
              <w:t>th</w:t>
            </w:r>
            <w:r w:rsidRPr="004D70F0">
              <w:rPr>
                <w:rFonts w:ascii="Verdana" w:hAnsi="Verdana"/>
                <w:color w:val="222A35"/>
                <w:sz w:val="24"/>
                <w:szCs w:val="20"/>
              </w:rPr>
              <w:t xml:space="preserve"> percentile to reduce</w:t>
            </w:r>
          </w:p>
          <w:p w:rsidR="00F02F36" w:rsidRPr="004D70F0" w:rsidRDefault="00F02F36" w:rsidP="004D70F0">
            <w:pPr>
              <w:numPr>
                <w:ilvl w:val="0"/>
                <w:numId w:val="34"/>
              </w:numPr>
              <w:ind w:left="360"/>
              <w:contextualSpacing/>
              <w:rPr>
                <w:rFonts w:ascii="Verdana" w:hAnsi="Verdana"/>
                <w:b/>
                <w:bCs/>
                <w:i/>
                <w:iCs/>
                <w:color w:val="0F243E"/>
                <w:sz w:val="24"/>
                <w:szCs w:val="20"/>
              </w:rPr>
            </w:pPr>
            <w:r w:rsidRPr="004D70F0">
              <w:rPr>
                <w:rFonts w:ascii="Verdana" w:hAnsi="Verdana"/>
                <w:color w:val="0F243E"/>
                <w:sz w:val="24"/>
                <w:szCs w:val="20"/>
              </w:rPr>
              <w:t>Amber 95</w:t>
            </w:r>
            <w:r w:rsidRPr="004D70F0">
              <w:rPr>
                <w:rFonts w:ascii="Verdana" w:hAnsi="Verdana"/>
                <w:color w:val="0F243E"/>
                <w:sz w:val="24"/>
                <w:szCs w:val="20"/>
                <w:vertAlign w:val="superscript"/>
              </w:rPr>
              <w:t>th</w:t>
            </w:r>
            <w:r w:rsidRPr="004D70F0">
              <w:rPr>
                <w:rFonts w:ascii="Verdana" w:hAnsi="Verdana"/>
                <w:color w:val="0F243E"/>
                <w:sz w:val="24"/>
                <w:szCs w:val="20"/>
              </w:rPr>
              <w:t xml:space="preserve"> percentile times to reduce across each health board area</w:t>
            </w:r>
          </w:p>
          <w:p w:rsidR="00F02F36" w:rsidRPr="004D70F0" w:rsidRDefault="00F02F36" w:rsidP="004D70F0">
            <w:pPr>
              <w:rPr>
                <w:rFonts w:ascii="Verdana" w:hAnsi="Verdana"/>
                <w:b/>
                <w:bCs/>
                <w:i/>
                <w:iCs/>
                <w:color w:val="0F243E"/>
                <w:sz w:val="24"/>
                <w:szCs w:val="20"/>
              </w:rPr>
            </w:pPr>
            <w:r w:rsidRPr="004D70F0">
              <w:rPr>
                <w:rFonts w:ascii="Verdana" w:hAnsi="Verdana"/>
                <w:b/>
                <w:bCs/>
                <w:i/>
                <w:iCs/>
                <w:color w:val="0F243E"/>
                <w:sz w:val="24"/>
                <w:szCs w:val="20"/>
              </w:rPr>
              <w:t>Step 4</w:t>
            </w:r>
          </w:p>
          <w:p w:rsidR="00F02F36" w:rsidRPr="004D70F0" w:rsidRDefault="00F02F36" w:rsidP="004D70F0">
            <w:pPr>
              <w:numPr>
                <w:ilvl w:val="0"/>
                <w:numId w:val="34"/>
              </w:numPr>
              <w:ind w:left="360"/>
              <w:contextualSpacing/>
              <w:rPr>
                <w:rFonts w:ascii="Verdana" w:hAnsi="Verdana"/>
                <w:color w:val="0F243E"/>
                <w:sz w:val="24"/>
                <w:szCs w:val="20"/>
                <w:lang w:eastAsia="en-US"/>
              </w:rPr>
            </w:pPr>
            <w:r w:rsidRPr="004D70F0">
              <w:rPr>
                <w:rFonts w:ascii="Verdana" w:hAnsi="Verdana"/>
                <w:color w:val="0F243E"/>
                <w:sz w:val="24"/>
                <w:szCs w:val="20"/>
              </w:rPr>
              <w:t>95</w:t>
            </w:r>
            <w:r w:rsidRPr="004D70F0">
              <w:rPr>
                <w:rFonts w:ascii="Verdana" w:hAnsi="Verdana"/>
                <w:color w:val="0F243E"/>
                <w:sz w:val="24"/>
                <w:szCs w:val="20"/>
                <w:vertAlign w:val="superscript"/>
              </w:rPr>
              <w:t>th</w:t>
            </w:r>
            <w:r w:rsidRPr="004D70F0">
              <w:rPr>
                <w:rFonts w:ascii="Verdana" w:hAnsi="Verdana"/>
                <w:color w:val="0F243E"/>
                <w:sz w:val="24"/>
                <w:szCs w:val="20"/>
              </w:rPr>
              <w:t xml:space="preserve"> percentile call to door times (STEMI &amp; Stroke) to reduce across each health board area</w:t>
            </w:r>
          </w:p>
          <w:p w:rsidR="00F02F36" w:rsidRPr="004D70F0" w:rsidRDefault="00F02F36" w:rsidP="004D70F0">
            <w:pPr>
              <w:numPr>
                <w:ilvl w:val="0"/>
                <w:numId w:val="34"/>
              </w:numPr>
              <w:ind w:left="360"/>
              <w:contextualSpacing/>
              <w:rPr>
                <w:rFonts w:ascii="Verdana" w:hAnsi="Verdana"/>
                <w:color w:val="0F243E"/>
                <w:sz w:val="24"/>
                <w:szCs w:val="20"/>
              </w:rPr>
            </w:pPr>
            <w:r w:rsidRPr="004D70F0">
              <w:rPr>
                <w:rFonts w:ascii="Verdana" w:hAnsi="Verdana"/>
                <w:color w:val="0F243E"/>
                <w:sz w:val="24"/>
                <w:szCs w:val="20"/>
              </w:rPr>
              <w:t>Clinical Indicator performance to improve, and be above 95% in all health board areas (except ROSC)</w:t>
            </w:r>
          </w:p>
          <w:p w:rsidR="00F02F36" w:rsidRPr="004D70F0" w:rsidRDefault="00F02F36" w:rsidP="004D70F0">
            <w:pPr>
              <w:rPr>
                <w:rFonts w:ascii="Verdana" w:hAnsi="Verdana"/>
                <w:b/>
                <w:bCs/>
                <w:i/>
                <w:iCs/>
                <w:color w:val="0F243E"/>
                <w:sz w:val="24"/>
                <w:szCs w:val="20"/>
              </w:rPr>
            </w:pPr>
            <w:r w:rsidRPr="004D70F0">
              <w:rPr>
                <w:rFonts w:ascii="Verdana" w:hAnsi="Verdana"/>
                <w:b/>
                <w:bCs/>
                <w:i/>
                <w:iCs/>
                <w:color w:val="0F243E"/>
                <w:sz w:val="24"/>
                <w:szCs w:val="20"/>
              </w:rPr>
              <w:t>Step 5</w:t>
            </w:r>
          </w:p>
          <w:p w:rsidR="00F02F36" w:rsidRPr="004D70F0" w:rsidRDefault="00F02F36" w:rsidP="004D70F0">
            <w:pPr>
              <w:numPr>
                <w:ilvl w:val="0"/>
                <w:numId w:val="34"/>
              </w:numPr>
              <w:ind w:left="360"/>
              <w:contextualSpacing/>
              <w:rPr>
                <w:rFonts w:ascii="Verdana" w:hAnsi="Verdana"/>
                <w:color w:val="0F243E"/>
                <w:sz w:val="24"/>
                <w:szCs w:val="20"/>
                <w:lang w:eastAsia="en-US"/>
              </w:rPr>
            </w:pPr>
            <w:r w:rsidRPr="004D70F0">
              <w:rPr>
                <w:rFonts w:ascii="Verdana" w:hAnsi="Verdana"/>
                <w:color w:val="0F243E"/>
                <w:sz w:val="24"/>
                <w:szCs w:val="20"/>
              </w:rPr>
              <w:t xml:space="preserve">Handover to clear times to reduce across all health board areas </w:t>
            </w:r>
          </w:p>
        </w:tc>
      </w:tr>
    </w:tbl>
    <w:p w:rsidR="0011690E" w:rsidRPr="002C46C5" w:rsidRDefault="0011690E" w:rsidP="00697C02">
      <w:pPr>
        <w:pStyle w:val="BodyText"/>
        <w:spacing w:before="64" w:line="244" w:lineRule="auto"/>
        <w:ind w:left="0"/>
        <w:jc w:val="both"/>
        <w:rPr>
          <w:sz w:val="24"/>
          <w:szCs w:val="24"/>
        </w:rPr>
      </w:pPr>
    </w:p>
    <w:p w:rsidR="001E3526" w:rsidRPr="00ED1D2D" w:rsidRDefault="001E3526" w:rsidP="00BD538A">
      <w:pPr>
        <w:pStyle w:val="Footer"/>
        <w:tabs>
          <w:tab w:val="clear" w:pos="8306"/>
          <w:tab w:val="right" w:pos="9000"/>
        </w:tabs>
        <w:jc w:val="both"/>
        <w:rPr>
          <w:rFonts w:ascii="Verdana" w:hAnsi="Verdana"/>
          <w:b/>
          <w:sz w:val="24"/>
        </w:rPr>
      </w:pPr>
      <w:r w:rsidRPr="00ED1D2D">
        <w:rPr>
          <w:rFonts w:ascii="Verdana" w:hAnsi="Verdana"/>
          <w:b/>
          <w:sz w:val="24"/>
        </w:rPr>
        <w:t xml:space="preserve">4.   </w:t>
      </w:r>
      <w:r w:rsidRPr="00ED1D2D">
        <w:rPr>
          <w:rFonts w:ascii="Verdana" w:hAnsi="Verdana"/>
          <w:b/>
          <w:sz w:val="24"/>
          <w:bdr w:val="single" w:sz="4" w:space="0" w:color="auto"/>
        </w:rPr>
        <w:t>R</w:t>
      </w:r>
      <w:r w:rsidRPr="00ED1D2D">
        <w:rPr>
          <w:rFonts w:ascii="Verdana" w:hAnsi="Verdana"/>
          <w:b/>
          <w:sz w:val="24"/>
        </w:rPr>
        <w:t>ECOMMENDATION</w:t>
      </w:r>
    </w:p>
    <w:p w:rsidR="001E3526" w:rsidRPr="00ED1D2D" w:rsidRDefault="001E3526" w:rsidP="00BD538A">
      <w:pPr>
        <w:jc w:val="both"/>
        <w:rPr>
          <w:rFonts w:ascii="Verdana" w:hAnsi="Verdana" w:cs="Arial"/>
          <w:sz w:val="24"/>
        </w:rPr>
      </w:pPr>
    </w:p>
    <w:p w:rsidR="001E3526" w:rsidRPr="00ED1D2D" w:rsidRDefault="001E3526" w:rsidP="00BD538A">
      <w:pPr>
        <w:jc w:val="both"/>
        <w:rPr>
          <w:rFonts w:ascii="Verdana" w:hAnsi="Verdana" w:cs="Arial"/>
          <w:sz w:val="24"/>
        </w:rPr>
      </w:pPr>
      <w:r w:rsidRPr="00ED1D2D">
        <w:rPr>
          <w:rFonts w:ascii="Verdana" w:hAnsi="Verdana" w:cs="Arial"/>
          <w:sz w:val="24"/>
        </w:rPr>
        <w:t>The Emergency Ambulance Services Committee is asked to:</w:t>
      </w:r>
    </w:p>
    <w:p w:rsidR="001E3526" w:rsidRPr="00ED1D2D" w:rsidRDefault="001E3526" w:rsidP="00BD538A">
      <w:pPr>
        <w:jc w:val="both"/>
        <w:rPr>
          <w:rFonts w:ascii="Verdana" w:hAnsi="Verdana" w:cs="Arial"/>
          <w:sz w:val="24"/>
        </w:rPr>
      </w:pPr>
    </w:p>
    <w:p w:rsidR="00662ADB" w:rsidRPr="00ED1D2D" w:rsidRDefault="00E33ACD" w:rsidP="00BD538A">
      <w:pPr>
        <w:numPr>
          <w:ilvl w:val="0"/>
          <w:numId w:val="1"/>
        </w:numPr>
        <w:autoSpaceDE w:val="0"/>
        <w:autoSpaceDN w:val="0"/>
        <w:adjustRightInd w:val="0"/>
        <w:jc w:val="both"/>
        <w:rPr>
          <w:rFonts w:ascii="Verdana" w:hAnsi="Verdana" w:cs="Tahoma"/>
          <w:b/>
          <w:sz w:val="24"/>
        </w:rPr>
      </w:pPr>
      <w:r w:rsidRPr="00ED1D2D">
        <w:rPr>
          <w:rFonts w:ascii="Verdana" w:hAnsi="Verdana" w:cs="Arial"/>
          <w:b/>
          <w:color w:val="000000"/>
          <w:sz w:val="24"/>
        </w:rPr>
        <w:t>DISCUSS</w:t>
      </w:r>
      <w:r w:rsidRPr="00ED1D2D">
        <w:rPr>
          <w:rFonts w:ascii="Verdana" w:hAnsi="Verdana" w:cs="Arial"/>
          <w:color w:val="000000"/>
          <w:sz w:val="24"/>
        </w:rPr>
        <w:t xml:space="preserve"> </w:t>
      </w:r>
      <w:r w:rsidR="00662ADB" w:rsidRPr="00ED1D2D">
        <w:rPr>
          <w:rFonts w:ascii="Verdana" w:hAnsi="Verdana" w:cs="Arial"/>
          <w:color w:val="000000"/>
          <w:sz w:val="24"/>
        </w:rPr>
        <w:t xml:space="preserve">and </w:t>
      </w:r>
      <w:r w:rsidR="00F02F36">
        <w:rPr>
          <w:rFonts w:ascii="Verdana" w:hAnsi="Verdana" w:cs="Arial"/>
          <w:b/>
          <w:color w:val="000000"/>
          <w:sz w:val="24"/>
        </w:rPr>
        <w:t>APPROVE</w:t>
      </w:r>
      <w:r w:rsidR="001E3526" w:rsidRPr="00ED1D2D">
        <w:rPr>
          <w:rFonts w:ascii="Verdana" w:hAnsi="Verdana" w:cs="Arial"/>
          <w:b/>
          <w:color w:val="000000"/>
          <w:sz w:val="24"/>
        </w:rPr>
        <w:t xml:space="preserve"> </w:t>
      </w:r>
      <w:r w:rsidR="00D32BF0" w:rsidRPr="00ED1D2D">
        <w:rPr>
          <w:rFonts w:ascii="Verdana" w:hAnsi="Verdana" w:cs="Arial"/>
          <w:color w:val="000000"/>
          <w:sz w:val="24"/>
        </w:rPr>
        <w:t>the report</w:t>
      </w:r>
      <w:r w:rsidR="00D32BF0" w:rsidRPr="00ED1D2D">
        <w:rPr>
          <w:rFonts w:ascii="Verdana" w:hAnsi="Verdana" w:cs="Arial"/>
          <w:b/>
          <w:color w:val="000000"/>
          <w:sz w:val="24"/>
        </w:rPr>
        <w:t>.</w:t>
      </w:r>
    </w:p>
    <w:p w:rsidR="00353FED" w:rsidRPr="00ED1D2D" w:rsidRDefault="00353FED" w:rsidP="00BD538A">
      <w:pPr>
        <w:autoSpaceDE w:val="0"/>
        <w:autoSpaceDN w:val="0"/>
        <w:adjustRightInd w:val="0"/>
        <w:jc w:val="both"/>
        <w:rPr>
          <w:rFonts w:ascii="Verdana" w:hAnsi="Verdana" w:cs="Tahoma"/>
          <w:b/>
          <w:sz w:val="24"/>
        </w:rPr>
      </w:pPr>
    </w:p>
    <w:p w:rsidR="001E3526" w:rsidRPr="00ED1D2D" w:rsidRDefault="001E3526" w:rsidP="00AB3D5A">
      <w:pPr>
        <w:tabs>
          <w:tab w:val="left" w:pos="720"/>
          <w:tab w:val="left" w:pos="5505"/>
        </w:tabs>
        <w:jc w:val="both"/>
        <w:rPr>
          <w:rFonts w:ascii="Verdana" w:hAnsi="Verdana" w:cs="Tahoma"/>
          <w:sz w:val="2"/>
        </w:rPr>
      </w:pPr>
      <w:r w:rsidRPr="00ED1D2D">
        <w:rPr>
          <w:rFonts w:ascii="Verdana" w:hAnsi="Verdana" w:cs="Tahoma"/>
          <w:sz w:val="2"/>
        </w:rPr>
        <w:tab/>
      </w:r>
      <w:r w:rsidRPr="00ED1D2D">
        <w:rPr>
          <w:rFonts w:ascii="Verdana" w:hAnsi="Verdana" w:cs="Tahoma"/>
          <w:sz w:val="2"/>
        </w:rPr>
        <w:tab/>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829"/>
      </w:tblGrid>
      <w:tr w:rsidR="001E3526" w:rsidRPr="00ED1D2D" w:rsidTr="00E33ACD">
        <w:trPr>
          <w:trHeight w:val="425"/>
        </w:trPr>
        <w:tc>
          <w:tcPr>
            <w:tcW w:w="3060" w:type="dxa"/>
            <w:shd w:val="clear" w:color="auto" w:fill="E6E6E6"/>
          </w:tcPr>
          <w:p w:rsidR="001E3526" w:rsidRPr="00ED1D2D" w:rsidRDefault="001E3526" w:rsidP="000B1A50">
            <w:pPr>
              <w:rPr>
                <w:rFonts w:ascii="Verdana" w:hAnsi="Verdana" w:cs="Arial"/>
                <w:b/>
                <w:sz w:val="24"/>
              </w:rPr>
            </w:pPr>
            <w:r w:rsidRPr="00ED1D2D">
              <w:rPr>
                <w:rFonts w:ascii="Verdana" w:hAnsi="Verdana" w:cs="Arial"/>
                <w:b/>
                <w:sz w:val="24"/>
              </w:rPr>
              <w:t>Freedom of information status</w:t>
            </w:r>
          </w:p>
        </w:tc>
        <w:tc>
          <w:tcPr>
            <w:tcW w:w="6829" w:type="dxa"/>
          </w:tcPr>
          <w:p w:rsidR="001E3526" w:rsidRPr="00ED1D2D" w:rsidRDefault="001E3526" w:rsidP="000B1A50">
            <w:pPr>
              <w:jc w:val="both"/>
              <w:rPr>
                <w:rFonts w:ascii="Verdana" w:hAnsi="Verdana" w:cs="Arial"/>
                <w:sz w:val="24"/>
              </w:rPr>
            </w:pPr>
            <w:r w:rsidRPr="00ED1D2D">
              <w:rPr>
                <w:rFonts w:ascii="Verdana" w:hAnsi="Verdana" w:cs="Arial"/>
                <w:sz w:val="24"/>
              </w:rPr>
              <w:t>Open</w:t>
            </w:r>
          </w:p>
        </w:tc>
      </w:tr>
    </w:tbl>
    <w:p w:rsidR="00B74D29" w:rsidRPr="00ED1D2D" w:rsidRDefault="00B74D29" w:rsidP="00AB3D5A">
      <w:pPr>
        <w:tabs>
          <w:tab w:val="left" w:pos="720"/>
          <w:tab w:val="left" w:pos="5505"/>
        </w:tabs>
        <w:jc w:val="both"/>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1E3526" w:rsidRPr="00ED1D2D" w:rsidRDefault="00B74D29" w:rsidP="00B74D29">
      <w:pPr>
        <w:tabs>
          <w:tab w:val="left" w:pos="1875"/>
        </w:tabs>
        <w:rPr>
          <w:rFonts w:ascii="Verdana" w:hAnsi="Verdana" w:cs="Tahoma"/>
          <w:sz w:val="2"/>
        </w:rPr>
      </w:pPr>
      <w:r w:rsidRPr="00ED1D2D">
        <w:rPr>
          <w:rFonts w:ascii="Verdana" w:hAnsi="Verdana" w:cs="Tahoma"/>
          <w:sz w:val="2"/>
        </w:rPr>
        <w:tab/>
      </w:r>
    </w:p>
    <w:sectPr w:rsidR="001E3526" w:rsidRPr="00ED1D2D" w:rsidSect="002966D2">
      <w:footerReference w:type="default" r:id="rId11"/>
      <w:pgSz w:w="11906" w:h="16838"/>
      <w:pgMar w:top="902" w:right="924" w:bottom="1560" w:left="1259" w:header="709" w:footer="25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5749C" w:rsidRDefault="00C5749C">
      <w:r>
        <w:separator/>
      </w:r>
    </w:p>
  </w:endnote>
  <w:endnote w:type="continuationSeparator" w:id="0">
    <w:p w:rsidR="00C5749C" w:rsidRDefault="00C574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FUIText">
    <w:altName w:val="Times New Roman"/>
    <w:panose1 w:val="00000000000000000000"/>
    <w:charset w:val="00"/>
    <w:family w:val="roman"/>
    <w:notTrueType/>
    <w:pitch w:val="default"/>
  </w:font>
  <w:font w:name=".SF UI Text">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tblBorders>
      <w:tblLook w:val="00A0" w:firstRow="1" w:lastRow="0" w:firstColumn="1" w:lastColumn="0" w:noHBand="0" w:noVBand="0"/>
    </w:tblPr>
    <w:tblGrid>
      <w:gridCol w:w="3936"/>
      <w:gridCol w:w="1701"/>
      <w:gridCol w:w="3685"/>
    </w:tblGrid>
    <w:tr w:rsidR="005C2C88" w:rsidTr="002C712B">
      <w:tc>
        <w:tcPr>
          <w:tcW w:w="3936" w:type="dxa"/>
        </w:tcPr>
        <w:p w:rsidR="002966D2" w:rsidRPr="002966D2" w:rsidRDefault="002966D2" w:rsidP="002966D2">
          <w:pPr>
            <w:rPr>
              <w:rFonts w:ascii="Verdana" w:hAnsi="Verdana" w:cs="Arial"/>
              <w:b/>
              <w:sz w:val="18"/>
            </w:rPr>
          </w:pPr>
          <w:r w:rsidRPr="002966D2">
            <w:rPr>
              <w:rFonts w:ascii="Verdana" w:hAnsi="Verdana"/>
              <w:b/>
              <w:sz w:val="18"/>
            </w:rPr>
            <w:t>Proposed use of the 1% ‘A Healthier Wales’ funding commissioning allocation for the Welsh Ambulances Services NHS Trust (WAST)</w:t>
          </w:r>
        </w:p>
        <w:p w:rsidR="005C2C88" w:rsidRPr="009F5737" w:rsidRDefault="005C2C88" w:rsidP="002966D2">
          <w:pPr>
            <w:pStyle w:val="Footer"/>
            <w:tabs>
              <w:tab w:val="clear" w:pos="8306"/>
              <w:tab w:val="right" w:pos="9000"/>
            </w:tabs>
            <w:rPr>
              <w:rFonts w:ascii="Verdana" w:hAnsi="Verdana" w:cs="Arial"/>
              <w:b/>
              <w:sz w:val="18"/>
              <w:szCs w:val="18"/>
            </w:rPr>
          </w:pPr>
          <w:r w:rsidRPr="002966D2">
            <w:rPr>
              <w:rFonts w:ascii="Verdana" w:hAnsi="Verdana" w:cs="Arial"/>
              <w:b/>
              <w:sz w:val="10"/>
              <w:szCs w:val="18"/>
            </w:rPr>
            <w:t xml:space="preserve">                              </w:t>
          </w:r>
        </w:p>
      </w:tc>
      <w:tc>
        <w:tcPr>
          <w:tcW w:w="1701" w:type="dxa"/>
        </w:tcPr>
        <w:p w:rsidR="005C2C88" w:rsidRPr="009F5737" w:rsidRDefault="005C2C88" w:rsidP="002C712B">
          <w:pPr>
            <w:pStyle w:val="Footer"/>
            <w:tabs>
              <w:tab w:val="clear" w:pos="8306"/>
              <w:tab w:val="right" w:pos="9000"/>
            </w:tabs>
            <w:jc w:val="center"/>
            <w:rPr>
              <w:rFonts w:ascii="Verdana" w:hAnsi="Verdana" w:cs="Arial"/>
              <w:b/>
              <w:sz w:val="18"/>
              <w:szCs w:val="18"/>
            </w:rPr>
          </w:pPr>
          <w:r w:rsidRPr="009F5737">
            <w:rPr>
              <w:rFonts w:ascii="Verdana" w:hAnsi="Verdana" w:cs="Arial"/>
              <w:b/>
              <w:sz w:val="18"/>
              <w:szCs w:val="18"/>
            </w:rPr>
            <w:t xml:space="preserve">Page </w:t>
          </w:r>
          <w:r w:rsidR="00180848" w:rsidRPr="009F5737">
            <w:rPr>
              <w:rFonts w:ascii="Verdana" w:hAnsi="Verdana" w:cs="Arial"/>
              <w:b/>
              <w:sz w:val="18"/>
              <w:szCs w:val="18"/>
            </w:rPr>
            <w:fldChar w:fldCharType="begin"/>
          </w:r>
          <w:r w:rsidRPr="009F5737">
            <w:rPr>
              <w:rFonts w:ascii="Verdana" w:hAnsi="Verdana" w:cs="Arial"/>
              <w:b/>
              <w:sz w:val="18"/>
              <w:szCs w:val="18"/>
            </w:rPr>
            <w:instrText xml:space="preserve"> PAGE </w:instrText>
          </w:r>
          <w:r w:rsidR="00180848" w:rsidRPr="009F5737">
            <w:rPr>
              <w:rFonts w:ascii="Verdana" w:hAnsi="Verdana" w:cs="Arial"/>
              <w:b/>
              <w:sz w:val="18"/>
              <w:szCs w:val="18"/>
            </w:rPr>
            <w:fldChar w:fldCharType="separate"/>
          </w:r>
          <w:r w:rsidR="004D70F0">
            <w:rPr>
              <w:rFonts w:ascii="Verdana" w:hAnsi="Verdana" w:cs="Arial"/>
              <w:b/>
              <w:noProof/>
              <w:sz w:val="18"/>
              <w:szCs w:val="18"/>
            </w:rPr>
            <w:t>5</w:t>
          </w:r>
          <w:r w:rsidR="00180848" w:rsidRPr="009F5737">
            <w:rPr>
              <w:rFonts w:ascii="Verdana" w:hAnsi="Verdana" w:cs="Arial"/>
              <w:b/>
              <w:sz w:val="18"/>
              <w:szCs w:val="18"/>
            </w:rPr>
            <w:fldChar w:fldCharType="end"/>
          </w:r>
          <w:r w:rsidRPr="009F5737">
            <w:rPr>
              <w:rFonts w:ascii="Verdana" w:hAnsi="Verdana" w:cs="Arial"/>
              <w:b/>
              <w:sz w:val="18"/>
              <w:szCs w:val="18"/>
            </w:rPr>
            <w:t xml:space="preserve"> of </w:t>
          </w:r>
          <w:r w:rsidR="00180848" w:rsidRPr="009F5737">
            <w:rPr>
              <w:rFonts w:ascii="Verdana" w:hAnsi="Verdana" w:cs="Arial"/>
              <w:b/>
              <w:sz w:val="18"/>
              <w:szCs w:val="18"/>
            </w:rPr>
            <w:fldChar w:fldCharType="begin"/>
          </w:r>
          <w:r w:rsidRPr="009F5737">
            <w:rPr>
              <w:rFonts w:ascii="Verdana" w:hAnsi="Verdana" w:cs="Arial"/>
              <w:b/>
              <w:sz w:val="18"/>
              <w:szCs w:val="18"/>
            </w:rPr>
            <w:instrText xml:space="preserve"> NUMPAGES </w:instrText>
          </w:r>
          <w:r w:rsidR="00180848" w:rsidRPr="009F5737">
            <w:rPr>
              <w:rFonts w:ascii="Verdana" w:hAnsi="Verdana" w:cs="Arial"/>
              <w:b/>
              <w:sz w:val="18"/>
              <w:szCs w:val="18"/>
            </w:rPr>
            <w:fldChar w:fldCharType="separate"/>
          </w:r>
          <w:r w:rsidR="004D70F0">
            <w:rPr>
              <w:rFonts w:ascii="Verdana" w:hAnsi="Verdana" w:cs="Arial"/>
              <w:b/>
              <w:noProof/>
              <w:sz w:val="18"/>
              <w:szCs w:val="18"/>
            </w:rPr>
            <w:t>5</w:t>
          </w:r>
          <w:r w:rsidR="00180848" w:rsidRPr="009F5737">
            <w:rPr>
              <w:rFonts w:ascii="Verdana" w:hAnsi="Verdana" w:cs="Arial"/>
              <w:b/>
              <w:sz w:val="18"/>
              <w:szCs w:val="18"/>
            </w:rPr>
            <w:fldChar w:fldCharType="end"/>
          </w:r>
        </w:p>
      </w:tc>
      <w:tc>
        <w:tcPr>
          <w:tcW w:w="3685" w:type="dxa"/>
        </w:tcPr>
        <w:p w:rsidR="005C2C88" w:rsidRPr="009F5737" w:rsidRDefault="005C2C88" w:rsidP="0011690E">
          <w:pPr>
            <w:pStyle w:val="Footer"/>
            <w:tabs>
              <w:tab w:val="clear" w:pos="8306"/>
              <w:tab w:val="right" w:pos="9000"/>
            </w:tabs>
            <w:jc w:val="right"/>
            <w:rPr>
              <w:rFonts w:ascii="Verdana" w:hAnsi="Verdana" w:cs="Arial"/>
              <w:b/>
              <w:sz w:val="18"/>
              <w:szCs w:val="18"/>
            </w:rPr>
          </w:pPr>
          <w:r w:rsidRPr="009F5737">
            <w:rPr>
              <w:rFonts w:ascii="Verdana" w:hAnsi="Verdana" w:cs="Arial"/>
              <w:b/>
              <w:sz w:val="18"/>
              <w:szCs w:val="18"/>
            </w:rPr>
            <w:t xml:space="preserve">Emergency Ambulance Services Committee Meeting                              </w:t>
          </w:r>
          <w:r>
            <w:rPr>
              <w:rFonts w:ascii="Verdana" w:hAnsi="Verdana" w:cs="Arial"/>
              <w:b/>
              <w:sz w:val="18"/>
              <w:szCs w:val="18"/>
            </w:rPr>
            <w:t xml:space="preserve"> </w:t>
          </w:r>
          <w:r w:rsidR="002C712B">
            <w:rPr>
              <w:rFonts w:ascii="Verdana" w:hAnsi="Verdana" w:cs="Arial"/>
              <w:b/>
              <w:sz w:val="18"/>
              <w:szCs w:val="18"/>
            </w:rPr>
            <w:t xml:space="preserve">         </w:t>
          </w:r>
          <w:r w:rsidR="00F52E7D">
            <w:rPr>
              <w:rFonts w:ascii="Verdana" w:hAnsi="Verdana" w:cs="Arial"/>
              <w:b/>
              <w:sz w:val="18"/>
              <w:szCs w:val="18"/>
            </w:rPr>
            <w:t xml:space="preserve">                     </w:t>
          </w:r>
          <w:r w:rsidR="0011690E">
            <w:rPr>
              <w:rFonts w:ascii="Verdana" w:hAnsi="Verdana" w:cs="Arial"/>
              <w:b/>
              <w:sz w:val="18"/>
              <w:szCs w:val="18"/>
            </w:rPr>
            <w:t>26 March</w:t>
          </w:r>
          <w:r w:rsidR="00ED45D5">
            <w:rPr>
              <w:rFonts w:ascii="Verdana" w:hAnsi="Verdana" w:cs="Arial"/>
              <w:b/>
              <w:sz w:val="18"/>
              <w:szCs w:val="18"/>
            </w:rPr>
            <w:t xml:space="preserve"> 2019</w:t>
          </w:r>
        </w:p>
      </w:tc>
    </w:tr>
  </w:tbl>
  <w:p w:rsidR="005C2C88" w:rsidRPr="00C66705" w:rsidRDefault="005C2C88" w:rsidP="00C66705">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5749C" w:rsidRDefault="00C5749C">
      <w:r>
        <w:separator/>
      </w:r>
    </w:p>
  </w:footnote>
  <w:footnote w:type="continuationSeparator" w:id="0">
    <w:p w:rsidR="00C5749C" w:rsidRDefault="00C5749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A395A"/>
    <w:multiLevelType w:val="hybridMultilevel"/>
    <w:tmpl w:val="ED465F9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55A7278"/>
    <w:multiLevelType w:val="hybridMultilevel"/>
    <w:tmpl w:val="539E57DC"/>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0E6438F4"/>
    <w:multiLevelType w:val="hybridMultilevel"/>
    <w:tmpl w:val="612E85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EEE6FEB"/>
    <w:multiLevelType w:val="hybridMultilevel"/>
    <w:tmpl w:val="BF0A5DBC"/>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F1E18D6"/>
    <w:multiLevelType w:val="hybridMultilevel"/>
    <w:tmpl w:val="E18EA3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06D46B7"/>
    <w:multiLevelType w:val="hybridMultilevel"/>
    <w:tmpl w:val="1F80F2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25B55C5"/>
    <w:multiLevelType w:val="hybridMultilevel"/>
    <w:tmpl w:val="4536A7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3351902"/>
    <w:multiLevelType w:val="hybridMultilevel"/>
    <w:tmpl w:val="467A269C"/>
    <w:lvl w:ilvl="0" w:tplc="08090001">
      <w:start w:val="1"/>
      <w:numFmt w:val="bullet"/>
      <w:lvlText w:val=""/>
      <w:lvlJc w:val="left"/>
      <w:pPr>
        <w:ind w:left="1570" w:hanging="360"/>
      </w:pPr>
      <w:rPr>
        <w:rFonts w:ascii="Symbol" w:hAnsi="Symbol" w:hint="default"/>
      </w:rPr>
    </w:lvl>
    <w:lvl w:ilvl="1" w:tplc="08090001">
      <w:start w:val="1"/>
      <w:numFmt w:val="bullet"/>
      <w:lvlText w:val=""/>
      <w:lvlJc w:val="left"/>
      <w:pPr>
        <w:ind w:left="2290" w:hanging="360"/>
      </w:pPr>
      <w:rPr>
        <w:rFonts w:ascii="Symbol" w:hAnsi="Symbol" w:hint="default"/>
      </w:rPr>
    </w:lvl>
    <w:lvl w:ilvl="2" w:tplc="08090005">
      <w:start w:val="1"/>
      <w:numFmt w:val="bullet"/>
      <w:lvlText w:val=""/>
      <w:lvlJc w:val="left"/>
      <w:pPr>
        <w:ind w:left="3010" w:hanging="360"/>
      </w:pPr>
      <w:rPr>
        <w:rFonts w:ascii="Wingdings" w:hAnsi="Wingdings" w:hint="default"/>
      </w:rPr>
    </w:lvl>
    <w:lvl w:ilvl="3" w:tplc="08090001" w:tentative="1">
      <w:start w:val="1"/>
      <w:numFmt w:val="bullet"/>
      <w:lvlText w:val=""/>
      <w:lvlJc w:val="left"/>
      <w:pPr>
        <w:ind w:left="3730" w:hanging="360"/>
      </w:pPr>
      <w:rPr>
        <w:rFonts w:ascii="Symbol" w:hAnsi="Symbol" w:hint="default"/>
      </w:rPr>
    </w:lvl>
    <w:lvl w:ilvl="4" w:tplc="08090003" w:tentative="1">
      <w:start w:val="1"/>
      <w:numFmt w:val="bullet"/>
      <w:lvlText w:val="o"/>
      <w:lvlJc w:val="left"/>
      <w:pPr>
        <w:ind w:left="4450" w:hanging="360"/>
      </w:pPr>
      <w:rPr>
        <w:rFonts w:ascii="Courier New" w:hAnsi="Courier New" w:cs="Courier New" w:hint="default"/>
      </w:rPr>
    </w:lvl>
    <w:lvl w:ilvl="5" w:tplc="08090005" w:tentative="1">
      <w:start w:val="1"/>
      <w:numFmt w:val="bullet"/>
      <w:lvlText w:val=""/>
      <w:lvlJc w:val="left"/>
      <w:pPr>
        <w:ind w:left="5170" w:hanging="360"/>
      </w:pPr>
      <w:rPr>
        <w:rFonts w:ascii="Wingdings" w:hAnsi="Wingdings" w:hint="default"/>
      </w:rPr>
    </w:lvl>
    <w:lvl w:ilvl="6" w:tplc="08090001" w:tentative="1">
      <w:start w:val="1"/>
      <w:numFmt w:val="bullet"/>
      <w:lvlText w:val=""/>
      <w:lvlJc w:val="left"/>
      <w:pPr>
        <w:ind w:left="5890" w:hanging="360"/>
      </w:pPr>
      <w:rPr>
        <w:rFonts w:ascii="Symbol" w:hAnsi="Symbol" w:hint="default"/>
      </w:rPr>
    </w:lvl>
    <w:lvl w:ilvl="7" w:tplc="08090003" w:tentative="1">
      <w:start w:val="1"/>
      <w:numFmt w:val="bullet"/>
      <w:lvlText w:val="o"/>
      <w:lvlJc w:val="left"/>
      <w:pPr>
        <w:ind w:left="6610" w:hanging="360"/>
      </w:pPr>
      <w:rPr>
        <w:rFonts w:ascii="Courier New" w:hAnsi="Courier New" w:cs="Courier New" w:hint="default"/>
      </w:rPr>
    </w:lvl>
    <w:lvl w:ilvl="8" w:tplc="08090005" w:tentative="1">
      <w:start w:val="1"/>
      <w:numFmt w:val="bullet"/>
      <w:lvlText w:val=""/>
      <w:lvlJc w:val="left"/>
      <w:pPr>
        <w:ind w:left="7330" w:hanging="360"/>
      </w:pPr>
      <w:rPr>
        <w:rFonts w:ascii="Wingdings" w:hAnsi="Wingdings" w:hint="default"/>
      </w:rPr>
    </w:lvl>
  </w:abstractNum>
  <w:abstractNum w:abstractNumId="8" w15:restartNumberingAfterBreak="0">
    <w:nsid w:val="178F7850"/>
    <w:multiLevelType w:val="hybridMultilevel"/>
    <w:tmpl w:val="CF5A541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9" w15:restartNumberingAfterBreak="0">
    <w:nsid w:val="21642C8C"/>
    <w:multiLevelType w:val="hybridMultilevel"/>
    <w:tmpl w:val="4218FE6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1B43AA3"/>
    <w:multiLevelType w:val="hybridMultilevel"/>
    <w:tmpl w:val="F0EAE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487F4B"/>
    <w:multiLevelType w:val="hybridMultilevel"/>
    <w:tmpl w:val="D3E6A59C"/>
    <w:lvl w:ilvl="0" w:tplc="CDB673E0">
      <w:start w:val="1"/>
      <w:numFmt w:val="lowerRoman"/>
      <w:lvlText w:val="%1)"/>
      <w:lvlJc w:val="left"/>
      <w:pPr>
        <w:ind w:left="360" w:hanging="360"/>
      </w:pPr>
      <w:rPr>
        <w:rFonts w:ascii="Verdana" w:eastAsia="Times New Roman" w:hAnsi="Verdana" w:cs="Times New Roman"/>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14A14E1"/>
    <w:multiLevelType w:val="hybridMultilevel"/>
    <w:tmpl w:val="42FE8C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44C7BA0"/>
    <w:multiLevelType w:val="hybridMultilevel"/>
    <w:tmpl w:val="3418D6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7173B38"/>
    <w:multiLevelType w:val="hybridMultilevel"/>
    <w:tmpl w:val="9AD09D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AD41C34"/>
    <w:multiLevelType w:val="hybridMultilevel"/>
    <w:tmpl w:val="09E614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3C3B5607"/>
    <w:multiLevelType w:val="hybridMultilevel"/>
    <w:tmpl w:val="846EE5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1A62E70"/>
    <w:multiLevelType w:val="hybridMultilevel"/>
    <w:tmpl w:val="6E82DF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7193EC9"/>
    <w:multiLevelType w:val="hybridMultilevel"/>
    <w:tmpl w:val="67861392"/>
    <w:lvl w:ilvl="0" w:tplc="1FEC0904">
      <w:start w:val="1"/>
      <w:numFmt w:val="decimal"/>
      <w:pStyle w:val="Smallprintbody"/>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91D33B2"/>
    <w:multiLevelType w:val="hybridMultilevel"/>
    <w:tmpl w:val="ED625594"/>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ABD6CA1"/>
    <w:multiLevelType w:val="hybridMultilevel"/>
    <w:tmpl w:val="70004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DAE5719"/>
    <w:multiLevelType w:val="hybridMultilevel"/>
    <w:tmpl w:val="570016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E6B1F1C"/>
    <w:multiLevelType w:val="hybridMultilevel"/>
    <w:tmpl w:val="331649C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FF23990"/>
    <w:multiLevelType w:val="hybridMultilevel"/>
    <w:tmpl w:val="14A0A37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0B16302"/>
    <w:multiLevelType w:val="hybridMultilevel"/>
    <w:tmpl w:val="23B066F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5C356CC"/>
    <w:multiLevelType w:val="hybridMultilevel"/>
    <w:tmpl w:val="1EC6125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6" w15:restartNumberingAfterBreak="0">
    <w:nsid w:val="570F2F83"/>
    <w:multiLevelType w:val="hybridMultilevel"/>
    <w:tmpl w:val="237EFA68"/>
    <w:lvl w:ilvl="0" w:tplc="211C71EC">
      <w:start w:val="1"/>
      <w:numFmt w:val="decimal"/>
      <w:lvlText w:val="%1)"/>
      <w:lvlJc w:val="left"/>
      <w:pPr>
        <w:ind w:left="360" w:hanging="360"/>
      </w:pPr>
      <w:rPr>
        <w:rFonts w:hint="default"/>
        <w:b/>
      </w:rPr>
    </w:lvl>
    <w:lvl w:ilvl="1" w:tplc="08090019" w:tentative="1">
      <w:start w:val="1"/>
      <w:numFmt w:val="lowerLetter"/>
      <w:lvlText w:val="%2."/>
      <w:lvlJc w:val="left"/>
      <w:pPr>
        <w:ind w:left="720" w:hanging="360"/>
      </w:pPr>
    </w:lvl>
    <w:lvl w:ilvl="2" w:tplc="0809001B" w:tentative="1">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27" w15:restartNumberingAfterBreak="0">
    <w:nsid w:val="5A2045A2"/>
    <w:multiLevelType w:val="hybridMultilevel"/>
    <w:tmpl w:val="509A9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AC45272"/>
    <w:multiLevelType w:val="hybridMultilevel"/>
    <w:tmpl w:val="6036846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9" w15:restartNumberingAfterBreak="0">
    <w:nsid w:val="5D635A1E"/>
    <w:multiLevelType w:val="hybridMultilevel"/>
    <w:tmpl w:val="EF34241C"/>
    <w:lvl w:ilvl="0" w:tplc="A7748AEE">
      <w:start w:val="1"/>
      <w:numFmt w:val="decimal"/>
      <w:lvlText w:val="%1."/>
      <w:lvlJc w:val="left"/>
      <w:pPr>
        <w:ind w:left="1806" w:hanging="479"/>
        <w:jc w:val="left"/>
      </w:pPr>
      <w:rPr>
        <w:rFonts w:ascii="Verdana" w:eastAsia="Verdana" w:hAnsi="Verdana" w:hint="default"/>
        <w:b/>
        <w:bCs/>
        <w:spacing w:val="-1"/>
        <w:w w:val="101"/>
        <w:sz w:val="22"/>
        <w:szCs w:val="22"/>
      </w:rPr>
    </w:lvl>
    <w:lvl w:ilvl="1" w:tplc="49743CB4">
      <w:start w:val="1"/>
      <w:numFmt w:val="bullet"/>
      <w:lvlText w:val="•"/>
      <w:lvlJc w:val="left"/>
      <w:pPr>
        <w:ind w:left="2672" w:hanging="479"/>
      </w:pPr>
      <w:rPr>
        <w:rFonts w:hint="default"/>
      </w:rPr>
    </w:lvl>
    <w:lvl w:ilvl="2" w:tplc="1FD244D0">
      <w:start w:val="1"/>
      <w:numFmt w:val="bullet"/>
      <w:lvlText w:val="•"/>
      <w:lvlJc w:val="left"/>
      <w:pPr>
        <w:ind w:left="3545" w:hanging="479"/>
      </w:pPr>
      <w:rPr>
        <w:rFonts w:hint="default"/>
      </w:rPr>
    </w:lvl>
    <w:lvl w:ilvl="3" w:tplc="577C9294">
      <w:start w:val="1"/>
      <w:numFmt w:val="bullet"/>
      <w:lvlText w:val="•"/>
      <w:lvlJc w:val="left"/>
      <w:pPr>
        <w:ind w:left="4418" w:hanging="479"/>
      </w:pPr>
      <w:rPr>
        <w:rFonts w:hint="default"/>
      </w:rPr>
    </w:lvl>
    <w:lvl w:ilvl="4" w:tplc="AF4A1BE2">
      <w:start w:val="1"/>
      <w:numFmt w:val="bullet"/>
      <w:lvlText w:val="•"/>
      <w:lvlJc w:val="left"/>
      <w:pPr>
        <w:ind w:left="5291" w:hanging="479"/>
      </w:pPr>
      <w:rPr>
        <w:rFonts w:hint="default"/>
      </w:rPr>
    </w:lvl>
    <w:lvl w:ilvl="5" w:tplc="F8BA7E08">
      <w:start w:val="1"/>
      <w:numFmt w:val="bullet"/>
      <w:lvlText w:val="•"/>
      <w:lvlJc w:val="left"/>
      <w:pPr>
        <w:ind w:left="6164" w:hanging="479"/>
      </w:pPr>
      <w:rPr>
        <w:rFonts w:hint="default"/>
      </w:rPr>
    </w:lvl>
    <w:lvl w:ilvl="6" w:tplc="76F653C4">
      <w:start w:val="1"/>
      <w:numFmt w:val="bullet"/>
      <w:lvlText w:val="•"/>
      <w:lvlJc w:val="left"/>
      <w:pPr>
        <w:ind w:left="7037" w:hanging="479"/>
      </w:pPr>
      <w:rPr>
        <w:rFonts w:hint="default"/>
      </w:rPr>
    </w:lvl>
    <w:lvl w:ilvl="7" w:tplc="07DA714E">
      <w:start w:val="1"/>
      <w:numFmt w:val="bullet"/>
      <w:lvlText w:val="•"/>
      <w:lvlJc w:val="left"/>
      <w:pPr>
        <w:ind w:left="7910" w:hanging="479"/>
      </w:pPr>
      <w:rPr>
        <w:rFonts w:hint="default"/>
      </w:rPr>
    </w:lvl>
    <w:lvl w:ilvl="8" w:tplc="3698F0C8">
      <w:start w:val="1"/>
      <w:numFmt w:val="bullet"/>
      <w:lvlText w:val="•"/>
      <w:lvlJc w:val="left"/>
      <w:pPr>
        <w:ind w:left="8783" w:hanging="479"/>
      </w:pPr>
      <w:rPr>
        <w:rFonts w:hint="default"/>
      </w:rPr>
    </w:lvl>
  </w:abstractNum>
  <w:abstractNum w:abstractNumId="30" w15:restartNumberingAfterBreak="0">
    <w:nsid w:val="6E810B8F"/>
    <w:multiLevelType w:val="hybridMultilevel"/>
    <w:tmpl w:val="5D2E2D76"/>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FEC0671"/>
    <w:multiLevelType w:val="hybridMultilevel"/>
    <w:tmpl w:val="9E62B75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42A439F"/>
    <w:multiLevelType w:val="hybridMultilevel"/>
    <w:tmpl w:val="CFA8E462"/>
    <w:lvl w:ilvl="0" w:tplc="08090001">
      <w:start w:val="1"/>
      <w:numFmt w:val="bullet"/>
      <w:lvlText w:val=""/>
      <w:lvlJc w:val="left"/>
      <w:pPr>
        <w:ind w:left="360" w:hanging="360"/>
      </w:pPr>
      <w:rPr>
        <w:rFonts w:ascii="Symbol" w:hAnsi="Symbol" w:hint="default"/>
      </w:rPr>
    </w:lvl>
    <w:lvl w:ilvl="1" w:tplc="08090005">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4FF36EC"/>
    <w:multiLevelType w:val="hybridMultilevel"/>
    <w:tmpl w:val="901AB0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5"/>
  </w:num>
  <w:num w:numId="2">
    <w:abstractNumId w:val="12"/>
  </w:num>
  <w:num w:numId="3">
    <w:abstractNumId w:val="18"/>
  </w:num>
  <w:num w:numId="4">
    <w:abstractNumId w:val="27"/>
  </w:num>
  <w:num w:numId="5">
    <w:abstractNumId w:val="20"/>
  </w:num>
  <w:num w:numId="6">
    <w:abstractNumId w:val="13"/>
  </w:num>
  <w:num w:numId="7">
    <w:abstractNumId w:val="14"/>
  </w:num>
  <w:num w:numId="8">
    <w:abstractNumId w:val="2"/>
  </w:num>
  <w:num w:numId="9">
    <w:abstractNumId w:val="33"/>
  </w:num>
  <w:num w:numId="10">
    <w:abstractNumId w:val="6"/>
  </w:num>
  <w:num w:numId="11">
    <w:abstractNumId w:val="15"/>
  </w:num>
  <w:num w:numId="12">
    <w:abstractNumId w:val="1"/>
  </w:num>
  <w:num w:numId="13">
    <w:abstractNumId w:val="0"/>
  </w:num>
  <w:num w:numId="14">
    <w:abstractNumId w:val="32"/>
  </w:num>
  <w:num w:numId="15">
    <w:abstractNumId w:val="30"/>
  </w:num>
  <w:num w:numId="16">
    <w:abstractNumId w:val="19"/>
  </w:num>
  <w:num w:numId="17">
    <w:abstractNumId w:val="3"/>
  </w:num>
  <w:num w:numId="18">
    <w:abstractNumId w:val="7"/>
  </w:num>
  <w:num w:numId="19">
    <w:abstractNumId w:val="29"/>
  </w:num>
  <w:num w:numId="20">
    <w:abstractNumId w:val="9"/>
  </w:num>
  <w:num w:numId="21">
    <w:abstractNumId w:val="4"/>
  </w:num>
  <w:num w:numId="22">
    <w:abstractNumId w:val="21"/>
  </w:num>
  <w:num w:numId="23">
    <w:abstractNumId w:val="10"/>
  </w:num>
  <w:num w:numId="24">
    <w:abstractNumId w:val="5"/>
  </w:num>
  <w:num w:numId="25">
    <w:abstractNumId w:val="16"/>
  </w:num>
  <w:num w:numId="26">
    <w:abstractNumId w:val="24"/>
  </w:num>
  <w:num w:numId="27">
    <w:abstractNumId w:val="26"/>
  </w:num>
  <w:num w:numId="28">
    <w:abstractNumId w:val="23"/>
  </w:num>
  <w:num w:numId="29">
    <w:abstractNumId w:val="22"/>
  </w:num>
  <w:num w:numId="30">
    <w:abstractNumId w:val="31"/>
  </w:num>
  <w:num w:numId="31">
    <w:abstractNumId w:val="11"/>
  </w:num>
  <w:num w:numId="32">
    <w:abstractNumId w:val="17"/>
  </w:num>
  <w:num w:numId="33">
    <w:abstractNumId w:val="8"/>
  </w:num>
  <w:num w:numId="34">
    <w:abstractNumId w:val="2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D27"/>
    <w:rsid w:val="0000182C"/>
    <w:rsid w:val="00002025"/>
    <w:rsid w:val="00002BBA"/>
    <w:rsid w:val="00004284"/>
    <w:rsid w:val="00011A62"/>
    <w:rsid w:val="00011C32"/>
    <w:rsid w:val="0001200B"/>
    <w:rsid w:val="00013636"/>
    <w:rsid w:val="00020E89"/>
    <w:rsid w:val="00022F5F"/>
    <w:rsid w:val="00026232"/>
    <w:rsid w:val="0003008B"/>
    <w:rsid w:val="000426F8"/>
    <w:rsid w:val="0004329A"/>
    <w:rsid w:val="0005518A"/>
    <w:rsid w:val="0005747D"/>
    <w:rsid w:val="000618A6"/>
    <w:rsid w:val="00063779"/>
    <w:rsid w:val="00067861"/>
    <w:rsid w:val="00067D34"/>
    <w:rsid w:val="00070593"/>
    <w:rsid w:val="00070BB3"/>
    <w:rsid w:val="00073B8F"/>
    <w:rsid w:val="00073DE6"/>
    <w:rsid w:val="00075E07"/>
    <w:rsid w:val="00077345"/>
    <w:rsid w:val="00077DE5"/>
    <w:rsid w:val="00083F73"/>
    <w:rsid w:val="0008581C"/>
    <w:rsid w:val="00092A35"/>
    <w:rsid w:val="000968F3"/>
    <w:rsid w:val="000978A0"/>
    <w:rsid w:val="000A169E"/>
    <w:rsid w:val="000A1E84"/>
    <w:rsid w:val="000A4FFD"/>
    <w:rsid w:val="000B1A50"/>
    <w:rsid w:val="000B1B39"/>
    <w:rsid w:val="000B377C"/>
    <w:rsid w:val="000B49E6"/>
    <w:rsid w:val="000B6230"/>
    <w:rsid w:val="000B72DE"/>
    <w:rsid w:val="000B7610"/>
    <w:rsid w:val="000C5C7E"/>
    <w:rsid w:val="000D3829"/>
    <w:rsid w:val="000D428F"/>
    <w:rsid w:val="000D5A2E"/>
    <w:rsid w:val="000E7A1B"/>
    <w:rsid w:val="000F0FD5"/>
    <w:rsid w:val="000F24B4"/>
    <w:rsid w:val="000F4756"/>
    <w:rsid w:val="000F65E7"/>
    <w:rsid w:val="00106192"/>
    <w:rsid w:val="00106528"/>
    <w:rsid w:val="00106AAF"/>
    <w:rsid w:val="00106DF8"/>
    <w:rsid w:val="00112D48"/>
    <w:rsid w:val="00113243"/>
    <w:rsid w:val="001154C5"/>
    <w:rsid w:val="0011690E"/>
    <w:rsid w:val="00120BAD"/>
    <w:rsid w:val="001211FB"/>
    <w:rsid w:val="00121A5F"/>
    <w:rsid w:val="00122E22"/>
    <w:rsid w:val="0012476E"/>
    <w:rsid w:val="0013654A"/>
    <w:rsid w:val="0014149E"/>
    <w:rsid w:val="001416F8"/>
    <w:rsid w:val="00154628"/>
    <w:rsid w:val="00155203"/>
    <w:rsid w:val="00155A71"/>
    <w:rsid w:val="00156760"/>
    <w:rsid w:val="00163F5E"/>
    <w:rsid w:val="001642DB"/>
    <w:rsid w:val="00164C98"/>
    <w:rsid w:val="001667B1"/>
    <w:rsid w:val="00171057"/>
    <w:rsid w:val="00172B8A"/>
    <w:rsid w:val="00180848"/>
    <w:rsid w:val="00182840"/>
    <w:rsid w:val="00193083"/>
    <w:rsid w:val="00197FDB"/>
    <w:rsid w:val="001A59D9"/>
    <w:rsid w:val="001A610C"/>
    <w:rsid w:val="001A64C0"/>
    <w:rsid w:val="001A699F"/>
    <w:rsid w:val="001B0378"/>
    <w:rsid w:val="001B2AE0"/>
    <w:rsid w:val="001B48A7"/>
    <w:rsid w:val="001C3E2F"/>
    <w:rsid w:val="001D74D9"/>
    <w:rsid w:val="001E3526"/>
    <w:rsid w:val="001E3B34"/>
    <w:rsid w:val="001E4496"/>
    <w:rsid w:val="001E4CAA"/>
    <w:rsid w:val="001E5AD9"/>
    <w:rsid w:val="001F0B38"/>
    <w:rsid w:val="001F1FBA"/>
    <w:rsid w:val="001F2FF4"/>
    <w:rsid w:val="001F6699"/>
    <w:rsid w:val="00203025"/>
    <w:rsid w:val="00203EF2"/>
    <w:rsid w:val="00205C92"/>
    <w:rsid w:val="002064A7"/>
    <w:rsid w:val="00213F65"/>
    <w:rsid w:val="0021532F"/>
    <w:rsid w:val="00221FFE"/>
    <w:rsid w:val="00222429"/>
    <w:rsid w:val="00225F0C"/>
    <w:rsid w:val="00230A65"/>
    <w:rsid w:val="00231125"/>
    <w:rsid w:val="002334FE"/>
    <w:rsid w:val="00236082"/>
    <w:rsid w:val="00243C19"/>
    <w:rsid w:val="00244519"/>
    <w:rsid w:val="00244E49"/>
    <w:rsid w:val="002451E0"/>
    <w:rsid w:val="0025550D"/>
    <w:rsid w:val="00260487"/>
    <w:rsid w:val="00267C5D"/>
    <w:rsid w:val="002729D8"/>
    <w:rsid w:val="00272D6A"/>
    <w:rsid w:val="002740F1"/>
    <w:rsid w:val="00280160"/>
    <w:rsid w:val="00283221"/>
    <w:rsid w:val="00283485"/>
    <w:rsid w:val="00290C0E"/>
    <w:rsid w:val="00291340"/>
    <w:rsid w:val="00291BBD"/>
    <w:rsid w:val="0029447F"/>
    <w:rsid w:val="00295F18"/>
    <w:rsid w:val="002966D2"/>
    <w:rsid w:val="002A1737"/>
    <w:rsid w:val="002A45BA"/>
    <w:rsid w:val="002A557F"/>
    <w:rsid w:val="002A66A9"/>
    <w:rsid w:val="002A7977"/>
    <w:rsid w:val="002B0713"/>
    <w:rsid w:val="002B0BCC"/>
    <w:rsid w:val="002B459D"/>
    <w:rsid w:val="002B66BA"/>
    <w:rsid w:val="002B732C"/>
    <w:rsid w:val="002C327A"/>
    <w:rsid w:val="002C51B9"/>
    <w:rsid w:val="002C685C"/>
    <w:rsid w:val="002C712B"/>
    <w:rsid w:val="002D13BA"/>
    <w:rsid w:val="002D6614"/>
    <w:rsid w:val="002D6993"/>
    <w:rsid w:val="002E00B5"/>
    <w:rsid w:val="002E3412"/>
    <w:rsid w:val="002E513A"/>
    <w:rsid w:val="002E57D6"/>
    <w:rsid w:val="002E6A69"/>
    <w:rsid w:val="002E7F65"/>
    <w:rsid w:val="00321D25"/>
    <w:rsid w:val="00321FA5"/>
    <w:rsid w:val="00322067"/>
    <w:rsid w:val="00323934"/>
    <w:rsid w:val="0032535B"/>
    <w:rsid w:val="003255F2"/>
    <w:rsid w:val="00325B02"/>
    <w:rsid w:val="00332AA1"/>
    <w:rsid w:val="00332DC8"/>
    <w:rsid w:val="00343E27"/>
    <w:rsid w:val="003512F3"/>
    <w:rsid w:val="00352177"/>
    <w:rsid w:val="00353FED"/>
    <w:rsid w:val="00355948"/>
    <w:rsid w:val="00356891"/>
    <w:rsid w:val="00366892"/>
    <w:rsid w:val="00370C99"/>
    <w:rsid w:val="00371624"/>
    <w:rsid w:val="003756CB"/>
    <w:rsid w:val="00375BA3"/>
    <w:rsid w:val="003815DC"/>
    <w:rsid w:val="003826F4"/>
    <w:rsid w:val="00382E7E"/>
    <w:rsid w:val="003850DB"/>
    <w:rsid w:val="00385F2F"/>
    <w:rsid w:val="0038632D"/>
    <w:rsid w:val="00393193"/>
    <w:rsid w:val="003A060A"/>
    <w:rsid w:val="003A22F2"/>
    <w:rsid w:val="003A3B5A"/>
    <w:rsid w:val="003A5EBF"/>
    <w:rsid w:val="003B075E"/>
    <w:rsid w:val="003B26FD"/>
    <w:rsid w:val="003B658D"/>
    <w:rsid w:val="003C0692"/>
    <w:rsid w:val="003C1C52"/>
    <w:rsid w:val="003C4C2E"/>
    <w:rsid w:val="003C5FD8"/>
    <w:rsid w:val="003C722B"/>
    <w:rsid w:val="003D16E9"/>
    <w:rsid w:val="003D288E"/>
    <w:rsid w:val="003D2FE3"/>
    <w:rsid w:val="003D3CDD"/>
    <w:rsid w:val="003D4E0D"/>
    <w:rsid w:val="003E1E5E"/>
    <w:rsid w:val="003E5705"/>
    <w:rsid w:val="003F3578"/>
    <w:rsid w:val="003F3834"/>
    <w:rsid w:val="003F3DEA"/>
    <w:rsid w:val="00401D4E"/>
    <w:rsid w:val="004031CB"/>
    <w:rsid w:val="0040376C"/>
    <w:rsid w:val="00404466"/>
    <w:rsid w:val="00410B80"/>
    <w:rsid w:val="00411C6A"/>
    <w:rsid w:val="004140E0"/>
    <w:rsid w:val="00427770"/>
    <w:rsid w:val="004278A2"/>
    <w:rsid w:val="0043560B"/>
    <w:rsid w:val="00440520"/>
    <w:rsid w:val="0044140E"/>
    <w:rsid w:val="00447B77"/>
    <w:rsid w:val="00453320"/>
    <w:rsid w:val="004572E5"/>
    <w:rsid w:val="0046311F"/>
    <w:rsid w:val="00473E6E"/>
    <w:rsid w:val="00474FA4"/>
    <w:rsid w:val="004844FD"/>
    <w:rsid w:val="00485CAB"/>
    <w:rsid w:val="004906C7"/>
    <w:rsid w:val="004935E8"/>
    <w:rsid w:val="004A052B"/>
    <w:rsid w:val="004A169F"/>
    <w:rsid w:val="004A187C"/>
    <w:rsid w:val="004B4566"/>
    <w:rsid w:val="004C248A"/>
    <w:rsid w:val="004D01BC"/>
    <w:rsid w:val="004D2C33"/>
    <w:rsid w:val="004D368A"/>
    <w:rsid w:val="004D4BF5"/>
    <w:rsid w:val="004D559E"/>
    <w:rsid w:val="004D6349"/>
    <w:rsid w:val="004D70F0"/>
    <w:rsid w:val="004E10EB"/>
    <w:rsid w:val="004E28C9"/>
    <w:rsid w:val="004E2B64"/>
    <w:rsid w:val="004E33F8"/>
    <w:rsid w:val="004E3F0E"/>
    <w:rsid w:val="004E5B4C"/>
    <w:rsid w:val="004F658A"/>
    <w:rsid w:val="004F7F17"/>
    <w:rsid w:val="0050053C"/>
    <w:rsid w:val="005016DA"/>
    <w:rsid w:val="0050331B"/>
    <w:rsid w:val="005041E4"/>
    <w:rsid w:val="00506EB6"/>
    <w:rsid w:val="00514110"/>
    <w:rsid w:val="005163E3"/>
    <w:rsid w:val="0051688A"/>
    <w:rsid w:val="005222DE"/>
    <w:rsid w:val="0052465F"/>
    <w:rsid w:val="00530FB2"/>
    <w:rsid w:val="00534607"/>
    <w:rsid w:val="00544C69"/>
    <w:rsid w:val="00552762"/>
    <w:rsid w:val="00553602"/>
    <w:rsid w:val="005545CE"/>
    <w:rsid w:val="00554B2E"/>
    <w:rsid w:val="00555F04"/>
    <w:rsid w:val="00566117"/>
    <w:rsid w:val="005776FF"/>
    <w:rsid w:val="005821B1"/>
    <w:rsid w:val="00591F81"/>
    <w:rsid w:val="00596D7E"/>
    <w:rsid w:val="005A1687"/>
    <w:rsid w:val="005A3504"/>
    <w:rsid w:val="005A7798"/>
    <w:rsid w:val="005B0D3B"/>
    <w:rsid w:val="005B2ABA"/>
    <w:rsid w:val="005C2C88"/>
    <w:rsid w:val="005C4C8B"/>
    <w:rsid w:val="005C577D"/>
    <w:rsid w:val="005C6B1B"/>
    <w:rsid w:val="005C6E78"/>
    <w:rsid w:val="005D68E5"/>
    <w:rsid w:val="005D7398"/>
    <w:rsid w:val="005D7D4A"/>
    <w:rsid w:val="005E0E36"/>
    <w:rsid w:val="005E15E5"/>
    <w:rsid w:val="005E5656"/>
    <w:rsid w:val="005F3799"/>
    <w:rsid w:val="005F73C1"/>
    <w:rsid w:val="00600247"/>
    <w:rsid w:val="00602F50"/>
    <w:rsid w:val="00603AF7"/>
    <w:rsid w:val="00605134"/>
    <w:rsid w:val="00624C22"/>
    <w:rsid w:val="00633539"/>
    <w:rsid w:val="00636205"/>
    <w:rsid w:val="0063770A"/>
    <w:rsid w:val="00637C07"/>
    <w:rsid w:val="00641A96"/>
    <w:rsid w:val="00642699"/>
    <w:rsid w:val="00644AF6"/>
    <w:rsid w:val="006474AB"/>
    <w:rsid w:val="0065229B"/>
    <w:rsid w:val="00655173"/>
    <w:rsid w:val="00662ADB"/>
    <w:rsid w:val="00667CA5"/>
    <w:rsid w:val="006725CC"/>
    <w:rsid w:val="00674EE0"/>
    <w:rsid w:val="00675CD5"/>
    <w:rsid w:val="00676704"/>
    <w:rsid w:val="00682705"/>
    <w:rsid w:val="006837BF"/>
    <w:rsid w:val="00685261"/>
    <w:rsid w:val="00695D4D"/>
    <w:rsid w:val="00697152"/>
    <w:rsid w:val="00697C02"/>
    <w:rsid w:val="006A2AD9"/>
    <w:rsid w:val="006B1F16"/>
    <w:rsid w:val="006B551B"/>
    <w:rsid w:val="006B7E52"/>
    <w:rsid w:val="006C0F14"/>
    <w:rsid w:val="006C52E2"/>
    <w:rsid w:val="006D218D"/>
    <w:rsid w:val="006D52B1"/>
    <w:rsid w:val="006D5DA2"/>
    <w:rsid w:val="006E301A"/>
    <w:rsid w:val="006E43DC"/>
    <w:rsid w:val="006F3942"/>
    <w:rsid w:val="006F4F76"/>
    <w:rsid w:val="006F55FC"/>
    <w:rsid w:val="00703263"/>
    <w:rsid w:val="007065EF"/>
    <w:rsid w:val="00710D0C"/>
    <w:rsid w:val="007160DA"/>
    <w:rsid w:val="00717B89"/>
    <w:rsid w:val="00721878"/>
    <w:rsid w:val="007235A3"/>
    <w:rsid w:val="007235F6"/>
    <w:rsid w:val="007250DF"/>
    <w:rsid w:val="00730E8E"/>
    <w:rsid w:val="00731012"/>
    <w:rsid w:val="00731319"/>
    <w:rsid w:val="00733687"/>
    <w:rsid w:val="0073497B"/>
    <w:rsid w:val="007350E0"/>
    <w:rsid w:val="00737497"/>
    <w:rsid w:val="007433E9"/>
    <w:rsid w:val="00744376"/>
    <w:rsid w:val="00745121"/>
    <w:rsid w:val="00747D0C"/>
    <w:rsid w:val="00757049"/>
    <w:rsid w:val="00765319"/>
    <w:rsid w:val="00767E1D"/>
    <w:rsid w:val="0077677B"/>
    <w:rsid w:val="00780462"/>
    <w:rsid w:val="00780EDC"/>
    <w:rsid w:val="00783B45"/>
    <w:rsid w:val="00785D68"/>
    <w:rsid w:val="00786747"/>
    <w:rsid w:val="00791DE1"/>
    <w:rsid w:val="00793241"/>
    <w:rsid w:val="007A0673"/>
    <w:rsid w:val="007B195D"/>
    <w:rsid w:val="007B2088"/>
    <w:rsid w:val="007B284E"/>
    <w:rsid w:val="007B336F"/>
    <w:rsid w:val="007B50B2"/>
    <w:rsid w:val="007C0186"/>
    <w:rsid w:val="007C2409"/>
    <w:rsid w:val="007D6B17"/>
    <w:rsid w:val="007D6D7A"/>
    <w:rsid w:val="007E458F"/>
    <w:rsid w:val="007E64F6"/>
    <w:rsid w:val="007F0479"/>
    <w:rsid w:val="007F5DAA"/>
    <w:rsid w:val="00806162"/>
    <w:rsid w:val="00810F94"/>
    <w:rsid w:val="00811B39"/>
    <w:rsid w:val="00811E32"/>
    <w:rsid w:val="00812E6F"/>
    <w:rsid w:val="00823D96"/>
    <w:rsid w:val="0082518F"/>
    <w:rsid w:val="00827832"/>
    <w:rsid w:val="00833084"/>
    <w:rsid w:val="0083574F"/>
    <w:rsid w:val="00837B08"/>
    <w:rsid w:val="00850B0C"/>
    <w:rsid w:val="00851969"/>
    <w:rsid w:val="00860298"/>
    <w:rsid w:val="0086371D"/>
    <w:rsid w:val="0086637E"/>
    <w:rsid w:val="00870FAF"/>
    <w:rsid w:val="00873460"/>
    <w:rsid w:val="0087393D"/>
    <w:rsid w:val="00876460"/>
    <w:rsid w:val="00877D27"/>
    <w:rsid w:val="008806BE"/>
    <w:rsid w:val="00892D58"/>
    <w:rsid w:val="008A2025"/>
    <w:rsid w:val="008A5262"/>
    <w:rsid w:val="008B0EDC"/>
    <w:rsid w:val="008B18FD"/>
    <w:rsid w:val="008B434F"/>
    <w:rsid w:val="008C032E"/>
    <w:rsid w:val="008C2E4D"/>
    <w:rsid w:val="008C73D8"/>
    <w:rsid w:val="008D25CD"/>
    <w:rsid w:val="008E10C0"/>
    <w:rsid w:val="008E15D5"/>
    <w:rsid w:val="008E3000"/>
    <w:rsid w:val="008E4AC0"/>
    <w:rsid w:val="008E4C96"/>
    <w:rsid w:val="008E52F3"/>
    <w:rsid w:val="008F0406"/>
    <w:rsid w:val="008F1132"/>
    <w:rsid w:val="008F15A2"/>
    <w:rsid w:val="009017F3"/>
    <w:rsid w:val="0091054C"/>
    <w:rsid w:val="009109BA"/>
    <w:rsid w:val="009153DC"/>
    <w:rsid w:val="00915B20"/>
    <w:rsid w:val="00916341"/>
    <w:rsid w:val="0092603F"/>
    <w:rsid w:val="00926050"/>
    <w:rsid w:val="00937703"/>
    <w:rsid w:val="00940533"/>
    <w:rsid w:val="00941CD3"/>
    <w:rsid w:val="00950052"/>
    <w:rsid w:val="009504A2"/>
    <w:rsid w:val="00950C71"/>
    <w:rsid w:val="00957AC8"/>
    <w:rsid w:val="00961044"/>
    <w:rsid w:val="009646B8"/>
    <w:rsid w:val="009674B1"/>
    <w:rsid w:val="00973A9E"/>
    <w:rsid w:val="00974F7F"/>
    <w:rsid w:val="00977356"/>
    <w:rsid w:val="00982CB8"/>
    <w:rsid w:val="00984D4B"/>
    <w:rsid w:val="00984E25"/>
    <w:rsid w:val="009858BC"/>
    <w:rsid w:val="0099224C"/>
    <w:rsid w:val="009A100E"/>
    <w:rsid w:val="009A30A0"/>
    <w:rsid w:val="009A3B77"/>
    <w:rsid w:val="009A41CD"/>
    <w:rsid w:val="009A4A7E"/>
    <w:rsid w:val="009A7607"/>
    <w:rsid w:val="009A7C7E"/>
    <w:rsid w:val="009B2D87"/>
    <w:rsid w:val="009B3773"/>
    <w:rsid w:val="009B7740"/>
    <w:rsid w:val="009C12B8"/>
    <w:rsid w:val="009C5026"/>
    <w:rsid w:val="009C5AE0"/>
    <w:rsid w:val="009C5B7A"/>
    <w:rsid w:val="009C7A45"/>
    <w:rsid w:val="009D24D0"/>
    <w:rsid w:val="009D76E3"/>
    <w:rsid w:val="009E0E6F"/>
    <w:rsid w:val="009E123D"/>
    <w:rsid w:val="009F3E50"/>
    <w:rsid w:val="009F42A8"/>
    <w:rsid w:val="009F5737"/>
    <w:rsid w:val="009F5E64"/>
    <w:rsid w:val="009F668E"/>
    <w:rsid w:val="00A02754"/>
    <w:rsid w:val="00A03C02"/>
    <w:rsid w:val="00A05F6A"/>
    <w:rsid w:val="00A07327"/>
    <w:rsid w:val="00A13C8B"/>
    <w:rsid w:val="00A16A6D"/>
    <w:rsid w:val="00A16C1D"/>
    <w:rsid w:val="00A23BEC"/>
    <w:rsid w:val="00A3403C"/>
    <w:rsid w:val="00A340B1"/>
    <w:rsid w:val="00A35ED8"/>
    <w:rsid w:val="00A367BA"/>
    <w:rsid w:val="00A40F78"/>
    <w:rsid w:val="00A456C8"/>
    <w:rsid w:val="00A47C9F"/>
    <w:rsid w:val="00A50DAC"/>
    <w:rsid w:val="00A5192E"/>
    <w:rsid w:val="00A5750C"/>
    <w:rsid w:val="00A65AD0"/>
    <w:rsid w:val="00A6625C"/>
    <w:rsid w:val="00A669BC"/>
    <w:rsid w:val="00A66B29"/>
    <w:rsid w:val="00A7423F"/>
    <w:rsid w:val="00A744FE"/>
    <w:rsid w:val="00A7724E"/>
    <w:rsid w:val="00A81DB1"/>
    <w:rsid w:val="00A852CF"/>
    <w:rsid w:val="00A85BE8"/>
    <w:rsid w:val="00A86511"/>
    <w:rsid w:val="00A9106F"/>
    <w:rsid w:val="00A95971"/>
    <w:rsid w:val="00A96064"/>
    <w:rsid w:val="00AA75A2"/>
    <w:rsid w:val="00AB3D5A"/>
    <w:rsid w:val="00AB5EAE"/>
    <w:rsid w:val="00AB7441"/>
    <w:rsid w:val="00AC36EB"/>
    <w:rsid w:val="00AC66BD"/>
    <w:rsid w:val="00AC7046"/>
    <w:rsid w:val="00AD0984"/>
    <w:rsid w:val="00AD19E1"/>
    <w:rsid w:val="00AD1E63"/>
    <w:rsid w:val="00AD7277"/>
    <w:rsid w:val="00AD7651"/>
    <w:rsid w:val="00AD7CB8"/>
    <w:rsid w:val="00AF156C"/>
    <w:rsid w:val="00AF1FD4"/>
    <w:rsid w:val="00AF230B"/>
    <w:rsid w:val="00AF3626"/>
    <w:rsid w:val="00AF4AAD"/>
    <w:rsid w:val="00B05A74"/>
    <w:rsid w:val="00B06F3F"/>
    <w:rsid w:val="00B150A8"/>
    <w:rsid w:val="00B15842"/>
    <w:rsid w:val="00B16045"/>
    <w:rsid w:val="00B3132B"/>
    <w:rsid w:val="00B374B9"/>
    <w:rsid w:val="00B405F5"/>
    <w:rsid w:val="00B40A88"/>
    <w:rsid w:val="00B40F40"/>
    <w:rsid w:val="00B469E6"/>
    <w:rsid w:val="00B70F6F"/>
    <w:rsid w:val="00B7284A"/>
    <w:rsid w:val="00B74D29"/>
    <w:rsid w:val="00B77617"/>
    <w:rsid w:val="00B8013F"/>
    <w:rsid w:val="00B80AE3"/>
    <w:rsid w:val="00B8700A"/>
    <w:rsid w:val="00B909FF"/>
    <w:rsid w:val="00B9309B"/>
    <w:rsid w:val="00BA1981"/>
    <w:rsid w:val="00BA4846"/>
    <w:rsid w:val="00BA4C60"/>
    <w:rsid w:val="00BB1130"/>
    <w:rsid w:val="00BB329E"/>
    <w:rsid w:val="00BB56F5"/>
    <w:rsid w:val="00BC17FB"/>
    <w:rsid w:val="00BC18E2"/>
    <w:rsid w:val="00BC1D65"/>
    <w:rsid w:val="00BC2038"/>
    <w:rsid w:val="00BC3162"/>
    <w:rsid w:val="00BC3543"/>
    <w:rsid w:val="00BD0E55"/>
    <w:rsid w:val="00BD28C5"/>
    <w:rsid w:val="00BD538A"/>
    <w:rsid w:val="00BE1E77"/>
    <w:rsid w:val="00BE2D70"/>
    <w:rsid w:val="00BF214F"/>
    <w:rsid w:val="00BF4C67"/>
    <w:rsid w:val="00BF6F78"/>
    <w:rsid w:val="00C04F03"/>
    <w:rsid w:val="00C05A75"/>
    <w:rsid w:val="00C071F3"/>
    <w:rsid w:val="00C10A11"/>
    <w:rsid w:val="00C11B45"/>
    <w:rsid w:val="00C13C7F"/>
    <w:rsid w:val="00C14967"/>
    <w:rsid w:val="00C14A62"/>
    <w:rsid w:val="00C23F2A"/>
    <w:rsid w:val="00C27E58"/>
    <w:rsid w:val="00C42F5B"/>
    <w:rsid w:val="00C46971"/>
    <w:rsid w:val="00C51F07"/>
    <w:rsid w:val="00C55EBE"/>
    <w:rsid w:val="00C5749C"/>
    <w:rsid w:val="00C604A0"/>
    <w:rsid w:val="00C630D1"/>
    <w:rsid w:val="00C65A5D"/>
    <w:rsid w:val="00C66705"/>
    <w:rsid w:val="00C67544"/>
    <w:rsid w:val="00C67819"/>
    <w:rsid w:val="00C73423"/>
    <w:rsid w:val="00C83913"/>
    <w:rsid w:val="00C86B2B"/>
    <w:rsid w:val="00C9797C"/>
    <w:rsid w:val="00C97F6E"/>
    <w:rsid w:val="00CA2D3A"/>
    <w:rsid w:val="00CB0DFA"/>
    <w:rsid w:val="00CB5E8B"/>
    <w:rsid w:val="00CB6911"/>
    <w:rsid w:val="00CC2412"/>
    <w:rsid w:val="00CC3155"/>
    <w:rsid w:val="00CC3687"/>
    <w:rsid w:val="00CC3922"/>
    <w:rsid w:val="00CC3D70"/>
    <w:rsid w:val="00CC46C3"/>
    <w:rsid w:val="00CC5F47"/>
    <w:rsid w:val="00CD2AB8"/>
    <w:rsid w:val="00CD6FE7"/>
    <w:rsid w:val="00CD7008"/>
    <w:rsid w:val="00CE37C0"/>
    <w:rsid w:val="00CE49A3"/>
    <w:rsid w:val="00CF53A1"/>
    <w:rsid w:val="00CF61DC"/>
    <w:rsid w:val="00CF6B00"/>
    <w:rsid w:val="00D03669"/>
    <w:rsid w:val="00D05391"/>
    <w:rsid w:val="00D10373"/>
    <w:rsid w:val="00D14F23"/>
    <w:rsid w:val="00D1629A"/>
    <w:rsid w:val="00D214FF"/>
    <w:rsid w:val="00D22895"/>
    <w:rsid w:val="00D23FD9"/>
    <w:rsid w:val="00D24404"/>
    <w:rsid w:val="00D32BF0"/>
    <w:rsid w:val="00D373F7"/>
    <w:rsid w:val="00D37927"/>
    <w:rsid w:val="00D40320"/>
    <w:rsid w:val="00D410E1"/>
    <w:rsid w:val="00D4792B"/>
    <w:rsid w:val="00D52421"/>
    <w:rsid w:val="00D538BE"/>
    <w:rsid w:val="00D56202"/>
    <w:rsid w:val="00D57F9D"/>
    <w:rsid w:val="00D72972"/>
    <w:rsid w:val="00D75064"/>
    <w:rsid w:val="00D75277"/>
    <w:rsid w:val="00D80937"/>
    <w:rsid w:val="00D85EBA"/>
    <w:rsid w:val="00D906EE"/>
    <w:rsid w:val="00D91846"/>
    <w:rsid w:val="00D91884"/>
    <w:rsid w:val="00D95F72"/>
    <w:rsid w:val="00D97823"/>
    <w:rsid w:val="00DA2C61"/>
    <w:rsid w:val="00DA7AF8"/>
    <w:rsid w:val="00DB0115"/>
    <w:rsid w:val="00DB0921"/>
    <w:rsid w:val="00DB2BF6"/>
    <w:rsid w:val="00DB4CFD"/>
    <w:rsid w:val="00DC0735"/>
    <w:rsid w:val="00DC079F"/>
    <w:rsid w:val="00DC3283"/>
    <w:rsid w:val="00DC6603"/>
    <w:rsid w:val="00DC6DFD"/>
    <w:rsid w:val="00DC7192"/>
    <w:rsid w:val="00DD23A6"/>
    <w:rsid w:val="00DD4C39"/>
    <w:rsid w:val="00DE0889"/>
    <w:rsid w:val="00DE1509"/>
    <w:rsid w:val="00DE1BA7"/>
    <w:rsid w:val="00DF05DC"/>
    <w:rsid w:val="00DF0853"/>
    <w:rsid w:val="00DF0A84"/>
    <w:rsid w:val="00DF20CC"/>
    <w:rsid w:val="00E00E91"/>
    <w:rsid w:val="00E0204B"/>
    <w:rsid w:val="00E103DE"/>
    <w:rsid w:val="00E15A0E"/>
    <w:rsid w:val="00E233E1"/>
    <w:rsid w:val="00E24E01"/>
    <w:rsid w:val="00E263E0"/>
    <w:rsid w:val="00E26BB7"/>
    <w:rsid w:val="00E33ACD"/>
    <w:rsid w:val="00E36797"/>
    <w:rsid w:val="00E43CE7"/>
    <w:rsid w:val="00E461F1"/>
    <w:rsid w:val="00E4622E"/>
    <w:rsid w:val="00E4709A"/>
    <w:rsid w:val="00E55747"/>
    <w:rsid w:val="00E61652"/>
    <w:rsid w:val="00E6440F"/>
    <w:rsid w:val="00E717BB"/>
    <w:rsid w:val="00E71EB4"/>
    <w:rsid w:val="00E726A9"/>
    <w:rsid w:val="00E73B82"/>
    <w:rsid w:val="00E827D6"/>
    <w:rsid w:val="00E82F3E"/>
    <w:rsid w:val="00E8434F"/>
    <w:rsid w:val="00E852ED"/>
    <w:rsid w:val="00E87B5B"/>
    <w:rsid w:val="00E90229"/>
    <w:rsid w:val="00E96AAD"/>
    <w:rsid w:val="00EA3022"/>
    <w:rsid w:val="00EA7442"/>
    <w:rsid w:val="00EB282C"/>
    <w:rsid w:val="00EB71DB"/>
    <w:rsid w:val="00EC023B"/>
    <w:rsid w:val="00EC0250"/>
    <w:rsid w:val="00EC57A4"/>
    <w:rsid w:val="00EC7BB6"/>
    <w:rsid w:val="00ED0CA4"/>
    <w:rsid w:val="00ED1D2D"/>
    <w:rsid w:val="00ED3306"/>
    <w:rsid w:val="00ED45D5"/>
    <w:rsid w:val="00ED4753"/>
    <w:rsid w:val="00ED7A80"/>
    <w:rsid w:val="00EE2356"/>
    <w:rsid w:val="00EE2B0C"/>
    <w:rsid w:val="00EE318B"/>
    <w:rsid w:val="00EF3C18"/>
    <w:rsid w:val="00EF4BA3"/>
    <w:rsid w:val="00F02F36"/>
    <w:rsid w:val="00F06B1D"/>
    <w:rsid w:val="00F10885"/>
    <w:rsid w:val="00F11F22"/>
    <w:rsid w:val="00F12149"/>
    <w:rsid w:val="00F154AF"/>
    <w:rsid w:val="00F3118A"/>
    <w:rsid w:val="00F316B1"/>
    <w:rsid w:val="00F408AF"/>
    <w:rsid w:val="00F408F5"/>
    <w:rsid w:val="00F47B7F"/>
    <w:rsid w:val="00F5070C"/>
    <w:rsid w:val="00F5270E"/>
    <w:rsid w:val="00F52E7D"/>
    <w:rsid w:val="00F6095E"/>
    <w:rsid w:val="00F641B7"/>
    <w:rsid w:val="00F658D7"/>
    <w:rsid w:val="00F65AD1"/>
    <w:rsid w:val="00F8110C"/>
    <w:rsid w:val="00F82B2A"/>
    <w:rsid w:val="00F83EC5"/>
    <w:rsid w:val="00F8577E"/>
    <w:rsid w:val="00F85F5F"/>
    <w:rsid w:val="00F871D4"/>
    <w:rsid w:val="00F91074"/>
    <w:rsid w:val="00F9243E"/>
    <w:rsid w:val="00F97163"/>
    <w:rsid w:val="00FA29E5"/>
    <w:rsid w:val="00FA4047"/>
    <w:rsid w:val="00FB36A7"/>
    <w:rsid w:val="00FB790D"/>
    <w:rsid w:val="00FC6DDF"/>
    <w:rsid w:val="00FD156F"/>
    <w:rsid w:val="00FD3163"/>
    <w:rsid w:val="00FD5A04"/>
    <w:rsid w:val="00FE1CC7"/>
    <w:rsid w:val="00FE3834"/>
    <w:rsid w:val="00FE4578"/>
    <w:rsid w:val="00FE58A9"/>
    <w:rsid w:val="00FE72E0"/>
    <w:rsid w:val="00FE72FB"/>
    <w:rsid w:val="00FF09B3"/>
    <w:rsid w:val="00FF24BE"/>
    <w:rsid w:val="00FF48C0"/>
    <w:rsid w:val="00FF5827"/>
    <w:rsid w:val="00FF5A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9A8A48A3-E807-4B3F-9226-44CEAFFD4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41B7"/>
    <w:rPr>
      <w:rFonts w:ascii="Arial" w:hAnsi="Arial"/>
      <w:sz w:val="28"/>
      <w:szCs w:val="24"/>
    </w:rPr>
  </w:style>
  <w:style w:type="paragraph" w:styleId="Heading2">
    <w:name w:val="heading 2"/>
    <w:basedOn w:val="Normal"/>
    <w:next w:val="Normal"/>
    <w:link w:val="Heading2Char"/>
    <w:uiPriority w:val="99"/>
    <w:qFormat/>
    <w:rsid w:val="00877D27"/>
    <w:pPr>
      <w:keepNext/>
      <w:spacing w:before="240" w:after="60"/>
      <w:outlineLvl w:val="1"/>
    </w:pPr>
    <w:rPr>
      <w:rFonts w:cs="Arial"/>
      <w:b/>
      <w:bCs/>
      <w:i/>
      <w:iCs/>
      <w:szCs w:val="28"/>
    </w:rPr>
  </w:style>
  <w:style w:type="paragraph" w:styleId="Heading8">
    <w:name w:val="heading 8"/>
    <w:basedOn w:val="Normal"/>
    <w:next w:val="Normal"/>
    <w:link w:val="Heading8Char"/>
    <w:uiPriority w:val="99"/>
    <w:qFormat/>
    <w:rsid w:val="00877D27"/>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sid w:val="004D6349"/>
    <w:rPr>
      <w:rFonts w:ascii="Cambria" w:hAnsi="Cambria" w:cs="Times New Roman"/>
      <w:b/>
      <w:bCs/>
      <w:i/>
      <w:iCs/>
      <w:sz w:val="28"/>
      <w:szCs w:val="28"/>
    </w:rPr>
  </w:style>
  <w:style w:type="character" w:customStyle="1" w:styleId="Heading8Char">
    <w:name w:val="Heading 8 Char"/>
    <w:basedOn w:val="DefaultParagraphFont"/>
    <w:link w:val="Heading8"/>
    <w:uiPriority w:val="99"/>
    <w:semiHidden/>
    <w:locked/>
    <w:rsid w:val="004D6349"/>
    <w:rPr>
      <w:rFonts w:ascii="Calibri" w:hAnsi="Calibri" w:cs="Times New Roman"/>
      <w:i/>
      <w:iCs/>
      <w:sz w:val="24"/>
      <w:szCs w:val="24"/>
    </w:rPr>
  </w:style>
  <w:style w:type="character" w:styleId="Hyperlink">
    <w:name w:val="Hyperlink"/>
    <w:basedOn w:val="DefaultParagraphFont"/>
    <w:uiPriority w:val="99"/>
    <w:rsid w:val="00877D27"/>
    <w:rPr>
      <w:rFonts w:cs="Times New Roman"/>
      <w:color w:val="0000FF"/>
      <w:u w:val="single"/>
    </w:rPr>
  </w:style>
  <w:style w:type="paragraph" w:styleId="Footer">
    <w:name w:val="footer"/>
    <w:aliases w:val="Doc Footer"/>
    <w:basedOn w:val="Normal"/>
    <w:link w:val="FooterChar1"/>
    <w:uiPriority w:val="99"/>
    <w:rsid w:val="00877D27"/>
    <w:pPr>
      <w:tabs>
        <w:tab w:val="center" w:pos="4153"/>
        <w:tab w:val="right" w:pos="8306"/>
      </w:tabs>
    </w:pPr>
  </w:style>
  <w:style w:type="character" w:customStyle="1" w:styleId="FooterChar">
    <w:name w:val="Footer Char"/>
    <w:aliases w:val="Doc Footer Char"/>
    <w:basedOn w:val="DefaultParagraphFont"/>
    <w:uiPriority w:val="99"/>
    <w:locked/>
    <w:rsid w:val="0046311F"/>
    <w:rPr>
      <w:rFonts w:cs="Times New Roman"/>
      <w:sz w:val="24"/>
      <w:szCs w:val="24"/>
      <w:lang w:val="en-GB" w:eastAsia="en-US" w:bidi="ar-SA"/>
    </w:rPr>
  </w:style>
  <w:style w:type="character" w:customStyle="1" w:styleId="FooterChar1">
    <w:name w:val="Footer Char1"/>
    <w:aliases w:val="Doc Footer Char1"/>
    <w:basedOn w:val="DefaultParagraphFont"/>
    <w:link w:val="Footer"/>
    <w:uiPriority w:val="99"/>
    <w:locked/>
    <w:rsid w:val="00877D27"/>
    <w:rPr>
      <w:rFonts w:ascii="Arial" w:hAnsi="Arial" w:cs="Times New Roman"/>
      <w:sz w:val="24"/>
      <w:szCs w:val="24"/>
      <w:lang w:val="en-GB" w:eastAsia="en-GB" w:bidi="ar-SA"/>
    </w:rPr>
  </w:style>
  <w:style w:type="paragraph" w:customStyle="1" w:styleId="Default">
    <w:name w:val="Default"/>
    <w:uiPriority w:val="99"/>
    <w:rsid w:val="00877D27"/>
    <w:pPr>
      <w:autoSpaceDE w:val="0"/>
      <w:autoSpaceDN w:val="0"/>
      <w:adjustRightInd w:val="0"/>
    </w:pPr>
    <w:rPr>
      <w:rFonts w:ascii="Arial" w:hAnsi="Arial" w:cs="Arial"/>
      <w:color w:val="000000"/>
      <w:sz w:val="24"/>
      <w:szCs w:val="24"/>
    </w:rPr>
  </w:style>
  <w:style w:type="character" w:styleId="PageNumber">
    <w:name w:val="page number"/>
    <w:basedOn w:val="DefaultParagraphFont"/>
    <w:uiPriority w:val="99"/>
    <w:rsid w:val="00877D27"/>
    <w:rPr>
      <w:rFonts w:cs="Times New Roman"/>
    </w:rPr>
  </w:style>
  <w:style w:type="paragraph" w:styleId="Title">
    <w:name w:val="Title"/>
    <w:basedOn w:val="Normal"/>
    <w:link w:val="TitleChar"/>
    <w:uiPriority w:val="99"/>
    <w:qFormat/>
    <w:rsid w:val="00877D27"/>
    <w:pPr>
      <w:jc w:val="center"/>
    </w:pPr>
    <w:rPr>
      <w:rFonts w:ascii="Times New Roman" w:hAnsi="Times New Roman"/>
      <w:b/>
      <w:bCs/>
      <w:sz w:val="22"/>
      <w:szCs w:val="22"/>
      <w:lang w:eastAsia="en-US"/>
    </w:rPr>
  </w:style>
  <w:style w:type="character" w:customStyle="1" w:styleId="TitleChar">
    <w:name w:val="Title Char"/>
    <w:basedOn w:val="DefaultParagraphFont"/>
    <w:link w:val="Title"/>
    <w:uiPriority w:val="99"/>
    <w:locked/>
    <w:rsid w:val="004D6349"/>
    <w:rPr>
      <w:rFonts w:ascii="Cambria" w:hAnsi="Cambria" w:cs="Times New Roman"/>
      <w:b/>
      <w:bCs/>
      <w:kern w:val="28"/>
      <w:sz w:val="32"/>
      <w:szCs w:val="32"/>
    </w:rPr>
  </w:style>
  <w:style w:type="table" w:styleId="TableGrid">
    <w:name w:val="Table Grid"/>
    <w:basedOn w:val="TableNormal"/>
    <w:uiPriority w:val="39"/>
    <w:rsid w:val="00877D2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877D27"/>
    <w:pPr>
      <w:tabs>
        <w:tab w:val="center" w:pos="4153"/>
        <w:tab w:val="right" w:pos="8306"/>
      </w:tabs>
    </w:pPr>
  </w:style>
  <w:style w:type="character" w:customStyle="1" w:styleId="HeaderChar">
    <w:name w:val="Header Char"/>
    <w:basedOn w:val="DefaultParagraphFont"/>
    <w:link w:val="Header"/>
    <w:uiPriority w:val="99"/>
    <w:semiHidden/>
    <w:locked/>
    <w:rsid w:val="004D6349"/>
    <w:rPr>
      <w:rFonts w:ascii="Arial" w:hAnsi="Arial" w:cs="Times New Roman"/>
      <w:sz w:val="24"/>
      <w:szCs w:val="24"/>
    </w:rPr>
  </w:style>
  <w:style w:type="paragraph" w:styleId="Subtitle">
    <w:name w:val="Subtitle"/>
    <w:basedOn w:val="Normal"/>
    <w:next w:val="Normal"/>
    <w:link w:val="SubtitleChar"/>
    <w:uiPriority w:val="99"/>
    <w:qFormat/>
    <w:rsid w:val="00C604A0"/>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uiPriority w:val="99"/>
    <w:locked/>
    <w:rsid w:val="00C604A0"/>
    <w:rPr>
      <w:rFonts w:ascii="Verdana" w:hAnsi="Verdana" w:cs="Times New Roman"/>
      <w:sz w:val="24"/>
      <w:lang w:val="en-US" w:eastAsia="en-US"/>
    </w:rPr>
  </w:style>
  <w:style w:type="character" w:styleId="FollowedHyperlink">
    <w:name w:val="FollowedHyperlink"/>
    <w:basedOn w:val="DefaultParagraphFont"/>
    <w:uiPriority w:val="99"/>
    <w:rsid w:val="003D288E"/>
    <w:rPr>
      <w:rFonts w:cs="Times New Roman"/>
      <w:color w:val="800080"/>
      <w:u w:val="single"/>
    </w:rPr>
  </w:style>
  <w:style w:type="paragraph" w:styleId="NormalWeb">
    <w:name w:val="Normal (Web)"/>
    <w:basedOn w:val="Normal"/>
    <w:uiPriority w:val="99"/>
    <w:semiHidden/>
    <w:rsid w:val="004E28C9"/>
    <w:pPr>
      <w:spacing w:before="100" w:beforeAutospacing="1" w:after="100" w:afterAutospacing="1"/>
    </w:pPr>
    <w:rPr>
      <w:rFonts w:ascii="Times New Roman" w:hAnsi="Times New Roman"/>
      <w:sz w:val="24"/>
    </w:rPr>
  </w:style>
  <w:style w:type="paragraph" w:styleId="BalloonText">
    <w:name w:val="Balloon Text"/>
    <w:basedOn w:val="Normal"/>
    <w:link w:val="BalloonTextChar"/>
    <w:uiPriority w:val="99"/>
    <w:semiHidden/>
    <w:rsid w:val="00CC46C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D6349"/>
    <w:rPr>
      <w:rFonts w:cs="Times New Roman"/>
      <w:sz w:val="2"/>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List Paragraph2"/>
    <w:basedOn w:val="Normal"/>
    <w:link w:val="ListParagraphChar"/>
    <w:uiPriority w:val="34"/>
    <w:qFormat/>
    <w:rsid w:val="009C5B7A"/>
    <w:pPr>
      <w:ind w:left="720"/>
    </w:pPr>
    <w:rPr>
      <w:rFonts w:ascii="Verdana" w:hAnsi="Verdana"/>
      <w:lang w:eastAsia="en-US"/>
    </w:rPr>
  </w:style>
  <w:style w:type="character" w:customStyle="1" w:styleId="document1">
    <w:name w:val="document1"/>
    <w:basedOn w:val="DefaultParagraphFont"/>
    <w:uiPriority w:val="99"/>
    <w:rsid w:val="002E6A69"/>
    <w:rPr>
      <w:rFonts w:cs="Times New Roman"/>
    </w:rPr>
  </w:style>
  <w:style w:type="character" w:customStyle="1" w:styleId="docsize">
    <w:name w:val="docsize"/>
    <w:basedOn w:val="DefaultParagraphFont"/>
    <w:uiPriority w:val="99"/>
    <w:rsid w:val="002E6A69"/>
    <w:rPr>
      <w:rFonts w:cs="Times New Roman"/>
    </w:rPr>
  </w:style>
  <w:style w:type="character" w:customStyle="1" w:styleId="docdate1">
    <w:name w:val="docdate1"/>
    <w:basedOn w:val="DefaultParagraphFont"/>
    <w:uiPriority w:val="99"/>
    <w:rsid w:val="002E6A69"/>
    <w:rPr>
      <w:rFonts w:cs="Times New Roman"/>
    </w:rPr>
  </w:style>
  <w:style w:type="paragraph" w:styleId="PlainText">
    <w:name w:val="Plain Text"/>
    <w:basedOn w:val="Normal"/>
    <w:link w:val="PlainTextChar"/>
    <w:uiPriority w:val="99"/>
    <w:unhideWhenUsed/>
    <w:rsid w:val="001A59D9"/>
    <w:rPr>
      <w:rFonts w:ascii="Consolas" w:eastAsia="Calibri" w:hAnsi="Consolas"/>
      <w:sz w:val="21"/>
      <w:szCs w:val="21"/>
      <w:lang w:eastAsia="en-US"/>
    </w:rPr>
  </w:style>
  <w:style w:type="character" w:customStyle="1" w:styleId="PlainTextChar">
    <w:name w:val="Plain Text Char"/>
    <w:basedOn w:val="DefaultParagraphFont"/>
    <w:link w:val="PlainText"/>
    <w:uiPriority w:val="99"/>
    <w:rsid w:val="001A59D9"/>
    <w:rPr>
      <w:rFonts w:ascii="Consolas" w:eastAsia="Calibri" w:hAnsi="Consolas"/>
      <w:sz w:val="21"/>
      <w:szCs w:val="21"/>
      <w:lang w:eastAsia="en-US"/>
    </w:rPr>
  </w:style>
  <w:style w:type="paragraph" w:customStyle="1" w:styleId="Smallprintbody">
    <w:name w:val="Small print body"/>
    <w:basedOn w:val="Normal"/>
    <w:qFormat/>
    <w:rsid w:val="001A59D9"/>
    <w:pPr>
      <w:numPr>
        <w:numId w:val="3"/>
      </w:numPr>
      <w:contextualSpacing/>
    </w:pPr>
    <w:rPr>
      <w:rFonts w:eastAsia="Calibri" w:cs="Arial"/>
      <w:color w:val="000000"/>
      <w:sz w:val="16"/>
      <w:szCs w:val="16"/>
      <w:lang w:eastAsia="en-US"/>
    </w:rPr>
  </w:style>
  <w:style w:type="character" w:customStyle="1" w:styleId="s1">
    <w:name w:val="s1"/>
    <w:basedOn w:val="DefaultParagraphFont"/>
    <w:rsid w:val="009504A2"/>
    <w:rPr>
      <w:rFonts w:ascii=".SFUIText" w:hAnsi=".SFUIText" w:hint="default"/>
      <w:b w:val="0"/>
      <w:bCs w:val="0"/>
      <w:i w:val="0"/>
      <w:iCs w:val="0"/>
      <w:sz w:val="34"/>
      <w:szCs w:val="34"/>
    </w:rPr>
  </w:style>
  <w:style w:type="paragraph" w:customStyle="1" w:styleId="p1">
    <w:name w:val="p1"/>
    <w:basedOn w:val="Normal"/>
    <w:rsid w:val="009504A2"/>
    <w:rPr>
      <w:rFonts w:ascii=".SF UI Text" w:eastAsiaTheme="minorHAnsi" w:hAnsi=".SF UI Text"/>
      <w:color w:val="454545"/>
      <w:sz w:val="26"/>
      <w:szCs w:val="26"/>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
    <w:link w:val="ListParagraph"/>
    <w:uiPriority w:val="34"/>
    <w:qFormat/>
    <w:locked/>
    <w:rsid w:val="00E233E1"/>
    <w:rPr>
      <w:rFonts w:ascii="Verdana" w:hAnsi="Verdana"/>
      <w:sz w:val="28"/>
      <w:szCs w:val="24"/>
      <w:lang w:eastAsia="en-US"/>
    </w:rPr>
  </w:style>
  <w:style w:type="paragraph" w:styleId="BodyText">
    <w:name w:val="Body Text"/>
    <w:basedOn w:val="Normal"/>
    <w:link w:val="BodyTextChar"/>
    <w:uiPriority w:val="1"/>
    <w:qFormat/>
    <w:rsid w:val="00697C02"/>
    <w:pPr>
      <w:widowControl w:val="0"/>
      <w:ind w:left="1497"/>
    </w:pPr>
    <w:rPr>
      <w:rFonts w:ascii="Verdana" w:eastAsia="Verdana" w:hAnsi="Verdana" w:cstheme="minorBidi"/>
      <w:sz w:val="22"/>
      <w:szCs w:val="22"/>
      <w:lang w:val="en-US" w:eastAsia="en-US"/>
    </w:rPr>
  </w:style>
  <w:style w:type="character" w:customStyle="1" w:styleId="BodyTextChar">
    <w:name w:val="Body Text Char"/>
    <w:basedOn w:val="DefaultParagraphFont"/>
    <w:link w:val="BodyText"/>
    <w:uiPriority w:val="1"/>
    <w:rsid w:val="00697C02"/>
    <w:rPr>
      <w:rFonts w:ascii="Verdana" w:eastAsia="Verdana" w:hAnsi="Verdana" w:cstheme="minorBidi"/>
      <w:lang w:val="en-US" w:eastAsia="en-US"/>
    </w:rPr>
  </w:style>
  <w:style w:type="character" w:customStyle="1" w:styleId="Heading2Char4">
    <w:name w:val="Heading 2 Char4"/>
    <w:aliases w:val="Chapter Title Char4,Lev 2 Char4,Heading 2 Hidden Char4,Proposal Char4,h2 Char4,2 Char4,Level 2 Heading Char4,Numbered indent 2 Char4,ni2 Char4,Hanging 2 Indent Char4,numbered indent 2 Char4,exercise Char4,Heading 2 substyle Char4"/>
    <w:uiPriority w:val="99"/>
    <w:semiHidden/>
    <w:rsid w:val="00ED45D5"/>
    <w:rPr>
      <w:rFonts w:ascii="Cambria" w:hAnsi="Cambria" w:cs="Times New Roman"/>
      <w:b/>
      <w:bCs/>
      <w:i/>
      <w:iCs/>
      <w:sz w:val="28"/>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858359">
      <w:bodyDiv w:val="1"/>
      <w:marLeft w:val="0"/>
      <w:marRight w:val="0"/>
      <w:marTop w:val="0"/>
      <w:marBottom w:val="0"/>
      <w:divBdr>
        <w:top w:val="none" w:sz="0" w:space="0" w:color="auto"/>
        <w:left w:val="none" w:sz="0" w:space="0" w:color="auto"/>
        <w:bottom w:val="none" w:sz="0" w:space="0" w:color="auto"/>
        <w:right w:val="none" w:sz="0" w:space="0" w:color="auto"/>
      </w:divBdr>
    </w:div>
    <w:div w:id="317809453">
      <w:bodyDiv w:val="1"/>
      <w:marLeft w:val="0"/>
      <w:marRight w:val="0"/>
      <w:marTop w:val="0"/>
      <w:marBottom w:val="0"/>
      <w:divBdr>
        <w:top w:val="none" w:sz="0" w:space="0" w:color="auto"/>
        <w:left w:val="none" w:sz="0" w:space="0" w:color="auto"/>
        <w:bottom w:val="none" w:sz="0" w:space="0" w:color="auto"/>
        <w:right w:val="none" w:sz="0" w:space="0" w:color="auto"/>
      </w:divBdr>
    </w:div>
    <w:div w:id="372773711">
      <w:bodyDiv w:val="1"/>
      <w:marLeft w:val="0"/>
      <w:marRight w:val="0"/>
      <w:marTop w:val="0"/>
      <w:marBottom w:val="0"/>
      <w:divBdr>
        <w:top w:val="none" w:sz="0" w:space="0" w:color="auto"/>
        <w:left w:val="none" w:sz="0" w:space="0" w:color="auto"/>
        <w:bottom w:val="none" w:sz="0" w:space="0" w:color="auto"/>
        <w:right w:val="none" w:sz="0" w:space="0" w:color="auto"/>
      </w:divBdr>
    </w:div>
    <w:div w:id="427849378">
      <w:bodyDiv w:val="1"/>
      <w:marLeft w:val="0"/>
      <w:marRight w:val="0"/>
      <w:marTop w:val="0"/>
      <w:marBottom w:val="0"/>
      <w:divBdr>
        <w:top w:val="none" w:sz="0" w:space="0" w:color="auto"/>
        <w:left w:val="none" w:sz="0" w:space="0" w:color="auto"/>
        <w:bottom w:val="none" w:sz="0" w:space="0" w:color="auto"/>
        <w:right w:val="none" w:sz="0" w:space="0" w:color="auto"/>
      </w:divBdr>
    </w:div>
    <w:div w:id="514536084">
      <w:marLeft w:val="0"/>
      <w:marRight w:val="0"/>
      <w:marTop w:val="0"/>
      <w:marBottom w:val="0"/>
      <w:divBdr>
        <w:top w:val="none" w:sz="0" w:space="0" w:color="auto"/>
        <w:left w:val="none" w:sz="0" w:space="0" w:color="auto"/>
        <w:bottom w:val="none" w:sz="0" w:space="0" w:color="auto"/>
        <w:right w:val="none" w:sz="0" w:space="0" w:color="auto"/>
      </w:divBdr>
    </w:div>
    <w:div w:id="514536085">
      <w:marLeft w:val="0"/>
      <w:marRight w:val="0"/>
      <w:marTop w:val="0"/>
      <w:marBottom w:val="0"/>
      <w:divBdr>
        <w:top w:val="none" w:sz="0" w:space="0" w:color="auto"/>
        <w:left w:val="none" w:sz="0" w:space="0" w:color="auto"/>
        <w:bottom w:val="none" w:sz="0" w:space="0" w:color="auto"/>
        <w:right w:val="none" w:sz="0" w:space="0" w:color="auto"/>
      </w:divBdr>
    </w:div>
    <w:div w:id="514536086">
      <w:marLeft w:val="0"/>
      <w:marRight w:val="0"/>
      <w:marTop w:val="0"/>
      <w:marBottom w:val="0"/>
      <w:divBdr>
        <w:top w:val="none" w:sz="0" w:space="0" w:color="auto"/>
        <w:left w:val="none" w:sz="0" w:space="0" w:color="auto"/>
        <w:bottom w:val="none" w:sz="0" w:space="0" w:color="auto"/>
        <w:right w:val="none" w:sz="0" w:space="0" w:color="auto"/>
      </w:divBdr>
    </w:div>
    <w:div w:id="514536087">
      <w:marLeft w:val="0"/>
      <w:marRight w:val="0"/>
      <w:marTop w:val="0"/>
      <w:marBottom w:val="0"/>
      <w:divBdr>
        <w:top w:val="none" w:sz="0" w:space="0" w:color="auto"/>
        <w:left w:val="none" w:sz="0" w:space="0" w:color="auto"/>
        <w:bottom w:val="none" w:sz="0" w:space="0" w:color="auto"/>
        <w:right w:val="none" w:sz="0" w:space="0" w:color="auto"/>
      </w:divBdr>
    </w:div>
    <w:div w:id="514536088">
      <w:marLeft w:val="0"/>
      <w:marRight w:val="0"/>
      <w:marTop w:val="0"/>
      <w:marBottom w:val="0"/>
      <w:divBdr>
        <w:top w:val="none" w:sz="0" w:space="0" w:color="auto"/>
        <w:left w:val="none" w:sz="0" w:space="0" w:color="auto"/>
        <w:bottom w:val="none" w:sz="0" w:space="0" w:color="auto"/>
        <w:right w:val="none" w:sz="0" w:space="0" w:color="auto"/>
      </w:divBdr>
    </w:div>
    <w:div w:id="514536089">
      <w:marLeft w:val="0"/>
      <w:marRight w:val="0"/>
      <w:marTop w:val="0"/>
      <w:marBottom w:val="0"/>
      <w:divBdr>
        <w:top w:val="none" w:sz="0" w:space="0" w:color="auto"/>
        <w:left w:val="none" w:sz="0" w:space="0" w:color="auto"/>
        <w:bottom w:val="none" w:sz="0" w:space="0" w:color="auto"/>
        <w:right w:val="none" w:sz="0" w:space="0" w:color="auto"/>
      </w:divBdr>
    </w:div>
    <w:div w:id="514536090">
      <w:marLeft w:val="0"/>
      <w:marRight w:val="0"/>
      <w:marTop w:val="0"/>
      <w:marBottom w:val="0"/>
      <w:divBdr>
        <w:top w:val="none" w:sz="0" w:space="0" w:color="auto"/>
        <w:left w:val="none" w:sz="0" w:space="0" w:color="auto"/>
        <w:bottom w:val="none" w:sz="0" w:space="0" w:color="auto"/>
        <w:right w:val="none" w:sz="0" w:space="0" w:color="auto"/>
      </w:divBdr>
    </w:div>
    <w:div w:id="514536091">
      <w:marLeft w:val="0"/>
      <w:marRight w:val="0"/>
      <w:marTop w:val="0"/>
      <w:marBottom w:val="0"/>
      <w:divBdr>
        <w:top w:val="none" w:sz="0" w:space="0" w:color="auto"/>
        <w:left w:val="none" w:sz="0" w:space="0" w:color="auto"/>
        <w:bottom w:val="none" w:sz="0" w:space="0" w:color="auto"/>
        <w:right w:val="none" w:sz="0" w:space="0" w:color="auto"/>
      </w:divBdr>
    </w:div>
    <w:div w:id="514536092">
      <w:marLeft w:val="0"/>
      <w:marRight w:val="0"/>
      <w:marTop w:val="0"/>
      <w:marBottom w:val="0"/>
      <w:divBdr>
        <w:top w:val="none" w:sz="0" w:space="0" w:color="auto"/>
        <w:left w:val="none" w:sz="0" w:space="0" w:color="auto"/>
        <w:bottom w:val="none" w:sz="0" w:space="0" w:color="auto"/>
        <w:right w:val="none" w:sz="0" w:space="0" w:color="auto"/>
      </w:divBdr>
    </w:div>
    <w:div w:id="514536093">
      <w:marLeft w:val="0"/>
      <w:marRight w:val="0"/>
      <w:marTop w:val="0"/>
      <w:marBottom w:val="0"/>
      <w:divBdr>
        <w:top w:val="none" w:sz="0" w:space="0" w:color="auto"/>
        <w:left w:val="none" w:sz="0" w:space="0" w:color="auto"/>
        <w:bottom w:val="none" w:sz="0" w:space="0" w:color="auto"/>
        <w:right w:val="none" w:sz="0" w:space="0" w:color="auto"/>
      </w:divBdr>
    </w:div>
    <w:div w:id="514536094">
      <w:marLeft w:val="0"/>
      <w:marRight w:val="0"/>
      <w:marTop w:val="0"/>
      <w:marBottom w:val="0"/>
      <w:divBdr>
        <w:top w:val="none" w:sz="0" w:space="0" w:color="auto"/>
        <w:left w:val="none" w:sz="0" w:space="0" w:color="auto"/>
        <w:bottom w:val="none" w:sz="0" w:space="0" w:color="auto"/>
        <w:right w:val="none" w:sz="0" w:space="0" w:color="auto"/>
      </w:divBdr>
    </w:div>
    <w:div w:id="514536095">
      <w:marLeft w:val="0"/>
      <w:marRight w:val="0"/>
      <w:marTop w:val="0"/>
      <w:marBottom w:val="0"/>
      <w:divBdr>
        <w:top w:val="none" w:sz="0" w:space="0" w:color="auto"/>
        <w:left w:val="none" w:sz="0" w:space="0" w:color="auto"/>
        <w:bottom w:val="none" w:sz="0" w:space="0" w:color="auto"/>
        <w:right w:val="none" w:sz="0" w:space="0" w:color="auto"/>
      </w:divBdr>
    </w:div>
    <w:div w:id="665787158">
      <w:bodyDiv w:val="1"/>
      <w:marLeft w:val="0"/>
      <w:marRight w:val="0"/>
      <w:marTop w:val="0"/>
      <w:marBottom w:val="0"/>
      <w:divBdr>
        <w:top w:val="none" w:sz="0" w:space="0" w:color="auto"/>
        <w:left w:val="none" w:sz="0" w:space="0" w:color="auto"/>
        <w:bottom w:val="none" w:sz="0" w:space="0" w:color="auto"/>
        <w:right w:val="none" w:sz="0" w:space="0" w:color="auto"/>
      </w:divBdr>
    </w:div>
    <w:div w:id="700672732">
      <w:bodyDiv w:val="1"/>
      <w:marLeft w:val="0"/>
      <w:marRight w:val="0"/>
      <w:marTop w:val="0"/>
      <w:marBottom w:val="0"/>
      <w:divBdr>
        <w:top w:val="none" w:sz="0" w:space="0" w:color="auto"/>
        <w:left w:val="none" w:sz="0" w:space="0" w:color="auto"/>
        <w:bottom w:val="none" w:sz="0" w:space="0" w:color="auto"/>
        <w:right w:val="none" w:sz="0" w:space="0" w:color="auto"/>
      </w:divBdr>
    </w:div>
    <w:div w:id="723990990">
      <w:bodyDiv w:val="1"/>
      <w:marLeft w:val="0"/>
      <w:marRight w:val="0"/>
      <w:marTop w:val="0"/>
      <w:marBottom w:val="0"/>
      <w:divBdr>
        <w:top w:val="none" w:sz="0" w:space="0" w:color="auto"/>
        <w:left w:val="none" w:sz="0" w:space="0" w:color="auto"/>
        <w:bottom w:val="none" w:sz="0" w:space="0" w:color="auto"/>
        <w:right w:val="none" w:sz="0" w:space="0" w:color="auto"/>
      </w:divBdr>
    </w:div>
    <w:div w:id="1122501520">
      <w:bodyDiv w:val="1"/>
      <w:marLeft w:val="0"/>
      <w:marRight w:val="0"/>
      <w:marTop w:val="0"/>
      <w:marBottom w:val="0"/>
      <w:divBdr>
        <w:top w:val="none" w:sz="0" w:space="0" w:color="auto"/>
        <w:left w:val="none" w:sz="0" w:space="0" w:color="auto"/>
        <w:bottom w:val="none" w:sz="0" w:space="0" w:color="auto"/>
        <w:right w:val="none" w:sz="0" w:space="0" w:color="auto"/>
      </w:divBdr>
    </w:div>
    <w:div w:id="1127969816">
      <w:bodyDiv w:val="1"/>
      <w:marLeft w:val="0"/>
      <w:marRight w:val="0"/>
      <w:marTop w:val="0"/>
      <w:marBottom w:val="0"/>
      <w:divBdr>
        <w:top w:val="none" w:sz="0" w:space="0" w:color="auto"/>
        <w:left w:val="none" w:sz="0" w:space="0" w:color="auto"/>
        <w:bottom w:val="none" w:sz="0" w:space="0" w:color="auto"/>
        <w:right w:val="none" w:sz="0" w:space="0" w:color="auto"/>
      </w:divBdr>
    </w:div>
    <w:div w:id="1303192468">
      <w:bodyDiv w:val="1"/>
      <w:marLeft w:val="0"/>
      <w:marRight w:val="0"/>
      <w:marTop w:val="0"/>
      <w:marBottom w:val="0"/>
      <w:divBdr>
        <w:top w:val="none" w:sz="0" w:space="0" w:color="auto"/>
        <w:left w:val="none" w:sz="0" w:space="0" w:color="auto"/>
        <w:bottom w:val="none" w:sz="0" w:space="0" w:color="auto"/>
        <w:right w:val="none" w:sz="0" w:space="0" w:color="auto"/>
      </w:divBdr>
    </w:div>
    <w:div w:id="1318143208">
      <w:bodyDiv w:val="1"/>
      <w:marLeft w:val="0"/>
      <w:marRight w:val="0"/>
      <w:marTop w:val="0"/>
      <w:marBottom w:val="0"/>
      <w:divBdr>
        <w:top w:val="none" w:sz="0" w:space="0" w:color="auto"/>
        <w:left w:val="none" w:sz="0" w:space="0" w:color="auto"/>
        <w:bottom w:val="none" w:sz="0" w:space="0" w:color="auto"/>
        <w:right w:val="none" w:sz="0" w:space="0" w:color="auto"/>
      </w:divBdr>
    </w:div>
    <w:div w:id="1581676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wales.nhs.uk/sitesplus/documents/1064/24729_Health%20Standards%20Framework_2015_E1.pdf" TargetMode="External"/><Relationship Id="rId4" Type="http://schemas.openxmlformats.org/officeDocument/2006/relationships/settings" Target="settings.xml"/><Relationship Id="rId9" Type="http://schemas.openxmlformats.org/officeDocument/2006/relationships/hyperlink" Target="mailto:Julian.baker@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622D3CAB-8AC1-4B98-96EE-D967659B1B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6464C4A0</Template>
  <TotalTime>25</TotalTime>
  <Pages>5</Pages>
  <Words>1323</Words>
  <Characters>7487</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8793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ngt_citrixprovision</dc:creator>
  <cp:lastModifiedBy>ngt_citrixprovision</cp:lastModifiedBy>
  <cp:revision>7</cp:revision>
  <cp:lastPrinted>2019-02-04T14:13:00Z</cp:lastPrinted>
  <dcterms:created xsi:type="dcterms:W3CDTF">2019-03-20T13:16:00Z</dcterms:created>
  <dcterms:modified xsi:type="dcterms:W3CDTF">2019-03-21T18:06:00Z</dcterms:modified>
</cp:coreProperties>
</file>