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3EC662" w14:textId="70A5C120" w:rsidR="001A7288" w:rsidRDefault="001A7288" w:rsidP="001A7288">
      <w:pPr>
        <w:spacing w:before="240"/>
        <w:jc w:val="center"/>
        <w:rPr>
          <w:b/>
          <w:sz w:val="24"/>
        </w:rPr>
      </w:pPr>
      <w:r>
        <w:rPr>
          <w:b/>
          <w:sz w:val="24"/>
        </w:rPr>
        <w:t>A</w:t>
      </w:r>
      <w:r w:rsidRPr="001A7288">
        <w:rPr>
          <w:b/>
          <w:sz w:val="24"/>
        </w:rPr>
        <w:t>nalysis of ‘Appendix B’ reports, submitted by the Welsh Ambulance Service Trust (WAST)</w:t>
      </w:r>
    </w:p>
    <w:p w14:paraId="38FCA773" w14:textId="7601F5C7" w:rsidR="00D3186F" w:rsidRDefault="00786815" w:rsidP="0074037A">
      <w:pPr>
        <w:spacing w:before="240"/>
      </w:pPr>
      <w:r w:rsidRPr="001A7288">
        <w:rPr>
          <w:b/>
        </w:rPr>
        <w:t xml:space="preserve">Sponsored </w:t>
      </w:r>
      <w:r w:rsidR="00175F7E" w:rsidRPr="001A7288">
        <w:rPr>
          <w:b/>
        </w:rPr>
        <w:t>by</w:t>
      </w:r>
      <w:r w:rsidR="00D3186F">
        <w:t xml:space="preserve"> Cathy Dowling</w:t>
      </w:r>
      <w:r w:rsidR="00355537">
        <w:t>,</w:t>
      </w:r>
      <w:r w:rsidR="00D3186F">
        <w:t xml:space="preserve"> </w:t>
      </w:r>
      <w:r w:rsidR="00355537">
        <w:t>Assistant</w:t>
      </w:r>
      <w:r w:rsidR="00D3186F">
        <w:t xml:space="preserve"> Director Quality and Safety</w:t>
      </w:r>
      <w:r w:rsidR="00355537">
        <w:t>,</w:t>
      </w:r>
      <w:r w:rsidR="00D3186F">
        <w:t xml:space="preserve"> NHS </w:t>
      </w:r>
      <w:r w:rsidR="00355537">
        <w:t xml:space="preserve">Wales </w:t>
      </w:r>
      <w:r w:rsidR="00D3186F">
        <w:t>De</w:t>
      </w:r>
      <w:r w:rsidR="00355537">
        <w:t>l</w:t>
      </w:r>
      <w:r w:rsidR="00D3186F">
        <w:t>ivery Unit</w:t>
      </w:r>
    </w:p>
    <w:p w14:paraId="4FB0B24E" w14:textId="29844787" w:rsidR="00786815" w:rsidRPr="00175F7E" w:rsidRDefault="00D3186F" w:rsidP="0074037A">
      <w:pPr>
        <w:spacing w:before="240"/>
      </w:pPr>
      <w:r w:rsidRPr="001A7288">
        <w:rPr>
          <w:b/>
        </w:rPr>
        <w:t xml:space="preserve">Prepared </w:t>
      </w:r>
      <w:r w:rsidR="00355537" w:rsidRPr="001A7288">
        <w:rPr>
          <w:b/>
        </w:rPr>
        <w:t>by</w:t>
      </w:r>
      <w:r w:rsidR="00355537">
        <w:t xml:space="preserve"> </w:t>
      </w:r>
      <w:r w:rsidR="00087616">
        <w:t>Lee Joseph</w:t>
      </w:r>
      <w:r w:rsidR="00175F7E">
        <w:t>,</w:t>
      </w:r>
      <w:r w:rsidR="00087616">
        <w:t xml:space="preserve"> Quality and Safety Manager,</w:t>
      </w:r>
      <w:r w:rsidR="00175F7E">
        <w:t xml:space="preserve"> NHS Wales Delivery Unit</w:t>
      </w:r>
    </w:p>
    <w:p w14:paraId="48B537C5" w14:textId="58DB1939" w:rsidR="00786815" w:rsidRDefault="00087616" w:rsidP="00972954">
      <w:pPr>
        <w:pStyle w:val="Heading2"/>
        <w:spacing w:after="0" w:line="280" w:lineRule="atLeast"/>
        <w:rPr>
          <w:sz w:val="24"/>
        </w:rPr>
      </w:pPr>
      <w:r>
        <w:rPr>
          <w:sz w:val="24"/>
        </w:rPr>
        <w:t>P</w:t>
      </w:r>
      <w:r w:rsidR="00786815">
        <w:rPr>
          <w:sz w:val="24"/>
        </w:rPr>
        <w:t xml:space="preserve">urpose of </w:t>
      </w:r>
      <w:r w:rsidR="00175F7E">
        <w:rPr>
          <w:sz w:val="24"/>
        </w:rPr>
        <w:t xml:space="preserve">paper </w:t>
      </w:r>
    </w:p>
    <w:p w14:paraId="0B8C102E" w14:textId="03226DE3" w:rsidR="00087616" w:rsidRPr="00087616" w:rsidRDefault="00087616" w:rsidP="00972954">
      <w:pPr>
        <w:pStyle w:val="Heading2"/>
        <w:spacing w:after="0" w:line="280" w:lineRule="atLeast"/>
        <w:rPr>
          <w:b w:val="0"/>
        </w:rPr>
      </w:pPr>
      <w:r>
        <w:rPr>
          <w:b w:val="0"/>
        </w:rPr>
        <w:t>T</w:t>
      </w:r>
      <w:r w:rsidRPr="00087616">
        <w:rPr>
          <w:b w:val="0"/>
        </w:rPr>
        <w:t>o summarise an analysis of ‘Appendix B’ reports, submitted by the Welsh Ambulance Service Trust (WAST) to the Health Boards and subsequently the NHS Delivery Unit Quality</w:t>
      </w:r>
      <w:r>
        <w:rPr>
          <w:b w:val="0"/>
        </w:rPr>
        <w:t xml:space="preserve"> and Safety Team.  </w:t>
      </w:r>
      <w:r w:rsidRPr="00087616">
        <w:rPr>
          <w:b w:val="0"/>
        </w:rPr>
        <w:t xml:space="preserve">The time period in scope is 14 June to 31 November 2021. </w:t>
      </w:r>
      <w:r>
        <w:rPr>
          <w:b w:val="0"/>
        </w:rPr>
        <w:t xml:space="preserve"> </w:t>
      </w:r>
      <w:r w:rsidRPr="00087616">
        <w:rPr>
          <w:b w:val="0"/>
        </w:rPr>
        <w:t xml:space="preserve">The analysis focused on identifying any trends or themes of potential patient harm caused by WAST’s inability to respond to calls due to NHS Wales system pressures.  </w:t>
      </w:r>
    </w:p>
    <w:p w14:paraId="3952AB21" w14:textId="77777777" w:rsidR="00087616" w:rsidRDefault="00087616" w:rsidP="00087616">
      <w:pPr>
        <w:pStyle w:val="Heading2"/>
        <w:spacing w:after="0" w:line="280" w:lineRule="atLeast"/>
        <w:rPr>
          <w:sz w:val="24"/>
        </w:rPr>
      </w:pPr>
      <w:r>
        <w:rPr>
          <w:sz w:val="24"/>
        </w:rPr>
        <w:t>Situation</w:t>
      </w:r>
    </w:p>
    <w:p w14:paraId="5DFC4D69" w14:textId="77777777" w:rsidR="00087616" w:rsidRDefault="00087616" w:rsidP="00087616">
      <w:pPr>
        <w:pStyle w:val="Heading2"/>
        <w:spacing w:after="0" w:line="280" w:lineRule="atLeast"/>
        <w:rPr>
          <w:b w:val="0"/>
        </w:rPr>
      </w:pPr>
      <w:r w:rsidRPr="00087616">
        <w:rPr>
          <w:b w:val="0"/>
        </w:rPr>
        <w:t>The current system pressures within NHS Wales continue to impact on WAST’s ability to respond to calls in keeping with the prioritisation level, set by WAST dependent on clinical need.  Whilst the impact is predominantly seen in WAST’s ability to respond to calls within the community setting, it also applies to other WAST routine work such as urgent patient hospital transfers.</w:t>
      </w:r>
    </w:p>
    <w:p w14:paraId="0A0D46AE" w14:textId="6466FCC7" w:rsidR="00087616" w:rsidRPr="00087616" w:rsidRDefault="00087616" w:rsidP="00087616">
      <w:pPr>
        <w:pStyle w:val="Heading2"/>
        <w:spacing w:after="0" w:line="280" w:lineRule="atLeast"/>
        <w:rPr>
          <w:b w:val="0"/>
          <w:sz w:val="24"/>
        </w:rPr>
      </w:pPr>
      <w:r w:rsidRPr="00087616">
        <w:rPr>
          <w:b w:val="0"/>
        </w:rPr>
        <w:t>‘Appendix B’ reports are routinely copied to the Delivery Unit (DU) when submitted to the relevant HB/Trust in keeping with the current Framework arrangements.  However, analysis by the DU has shown there is currently no correlation between the potential incidents of patient harm outlined within the Appendix B’s, and national patient safety incident reporting.  This suggests there is a breakdown somewhere in the process of local investigation and national patient safety incident reporting, after Appendix B’s have been generated.  Whilst not all incidents where an Appendix B has been generated will reach threshold for national reporting, in accordance with the Welsh Government (WG) National Patient Safety Incident Policy, i.e. severe harm or death, assessment of the information contained within the Appendix B’s does make it highly likely that preventable harm, including severe harm and/or death is occurring, but not being reported nationally, and or potentially investigated appropriately in accordance with national regulations and policy.</w:t>
      </w:r>
    </w:p>
    <w:p w14:paraId="2F6697F6" w14:textId="2C92C189" w:rsidR="00786815" w:rsidRDefault="00761647" w:rsidP="00972954">
      <w:pPr>
        <w:pStyle w:val="Heading2"/>
        <w:spacing w:after="0" w:line="280" w:lineRule="atLeast"/>
        <w:rPr>
          <w:sz w:val="24"/>
        </w:rPr>
      </w:pPr>
      <w:r>
        <w:rPr>
          <w:sz w:val="24"/>
        </w:rPr>
        <w:t>Background</w:t>
      </w:r>
    </w:p>
    <w:p w14:paraId="151766DC" w14:textId="19527152" w:rsidR="00087616" w:rsidRDefault="00087616" w:rsidP="00087616"/>
    <w:p w14:paraId="033C54FC" w14:textId="77777777" w:rsidR="00087616" w:rsidRPr="00087616" w:rsidRDefault="00087616" w:rsidP="00087616">
      <w:r w:rsidRPr="00087616">
        <w:t>In 2019, a joint investigation framework was jointly developed between all Health Boards, Trusts and WAST, to provide a clear and consistent approach to the identification, reporting, investigation and closure of incidents meeting criteria, as set out by Welsh Government in relation to what was then classified as ‘serious incidents’ (</w:t>
      </w:r>
      <w:r w:rsidRPr="00087616">
        <w:rPr>
          <w:i/>
        </w:rPr>
        <w:t>Framework for the investigation of Patient Safety Serious Incidents (SIs), July 2019, V2.2</w:t>
      </w:r>
      <w:r w:rsidRPr="00087616">
        <w:t xml:space="preserve">).  The Framework was developed to consider all potential serious incidents (SIs) reported by the Welsh Ambulance Services NHS Trust (WAST) via their internal Serious Case Incident Forum (SCIF).  </w:t>
      </w:r>
    </w:p>
    <w:p w14:paraId="3C95060A" w14:textId="77777777" w:rsidR="00087616" w:rsidRPr="00087616" w:rsidRDefault="00087616" w:rsidP="00087616"/>
    <w:p w14:paraId="3C1573D8" w14:textId="556632C0" w:rsidR="00087616" w:rsidRPr="00087616" w:rsidRDefault="00087616" w:rsidP="00087616">
      <w:r w:rsidRPr="00087616">
        <w:t>Once developed, the framework (</w:t>
      </w:r>
      <w:r w:rsidR="00320B8B">
        <w:rPr>
          <w:b/>
        </w:rPr>
        <w:t>See in attachments</w:t>
      </w:r>
      <w:r w:rsidRPr="00087616">
        <w:t>) was presented and approved for use through the following forums:</w:t>
      </w:r>
    </w:p>
    <w:p w14:paraId="1E09F785" w14:textId="77777777" w:rsidR="00087616" w:rsidRPr="00087616" w:rsidRDefault="00087616" w:rsidP="00087616">
      <w:pPr>
        <w:numPr>
          <w:ilvl w:val="0"/>
          <w:numId w:val="11"/>
        </w:numPr>
      </w:pPr>
      <w:r w:rsidRPr="00087616">
        <w:t>All Wales Task and Finish Group (Assistant Director level)</w:t>
      </w:r>
    </w:p>
    <w:p w14:paraId="7F6958D1" w14:textId="77777777" w:rsidR="00087616" w:rsidRPr="00087616" w:rsidRDefault="00087616" w:rsidP="00087616">
      <w:pPr>
        <w:numPr>
          <w:ilvl w:val="0"/>
          <w:numId w:val="11"/>
        </w:numPr>
      </w:pPr>
      <w:r w:rsidRPr="00087616">
        <w:t>Head of Patient Experience Network;</w:t>
      </w:r>
    </w:p>
    <w:p w14:paraId="07815047" w14:textId="77777777" w:rsidR="00087616" w:rsidRPr="00087616" w:rsidRDefault="00087616" w:rsidP="00087616">
      <w:pPr>
        <w:numPr>
          <w:ilvl w:val="0"/>
          <w:numId w:val="11"/>
        </w:numPr>
      </w:pPr>
      <w:r w:rsidRPr="00087616">
        <w:t>WAST – Quality Steering Group;</w:t>
      </w:r>
    </w:p>
    <w:p w14:paraId="06F15B22" w14:textId="77777777" w:rsidR="00087616" w:rsidRPr="00087616" w:rsidRDefault="00087616" w:rsidP="00087616">
      <w:pPr>
        <w:numPr>
          <w:ilvl w:val="0"/>
          <w:numId w:val="11"/>
        </w:numPr>
      </w:pPr>
      <w:r w:rsidRPr="00087616">
        <w:t>Directors of Nursing forum NHS Wales; and,</w:t>
      </w:r>
    </w:p>
    <w:p w14:paraId="1F8890C4" w14:textId="08E6E4BB" w:rsidR="00087616" w:rsidRPr="00087616" w:rsidRDefault="00087616" w:rsidP="00087616">
      <w:pPr>
        <w:numPr>
          <w:ilvl w:val="0"/>
          <w:numId w:val="11"/>
        </w:numPr>
      </w:pPr>
      <w:r w:rsidRPr="00087616">
        <w:lastRenderedPageBreak/>
        <w:t>WAST Quality, Patient Experience &amp; Safety Committee</w:t>
      </w:r>
    </w:p>
    <w:p w14:paraId="5526672C" w14:textId="77777777" w:rsidR="00087616" w:rsidRPr="00087616" w:rsidRDefault="00087616" w:rsidP="00087616">
      <w:r w:rsidRPr="00087616">
        <w:t>The key purpose of the Framework, which remains in operation, is to “define the investigation Framework in the event of a Patient Safety SI related to handover delays at Health Board sites, which affects one or more health body in Wales”.  The Framework describes how the NHS in Wales will respond to patient safety SIs relating to extended delays in patient handovers and, where extended delays adversely impact patients within the community awaiting a response. The Framework sets out the mechanism by:</w:t>
      </w:r>
    </w:p>
    <w:p w14:paraId="3D50F720" w14:textId="77777777" w:rsidR="00087616" w:rsidRPr="00087616" w:rsidRDefault="00087616" w:rsidP="00087616">
      <w:pPr>
        <w:numPr>
          <w:ilvl w:val="0"/>
          <w:numId w:val="12"/>
        </w:numPr>
      </w:pPr>
      <w:r w:rsidRPr="00087616">
        <w:t>Which organisation will take primacy for Advising Welsh Government (WG) of the SI;</w:t>
      </w:r>
    </w:p>
    <w:p w14:paraId="66254EEE" w14:textId="77777777" w:rsidR="00087616" w:rsidRPr="00087616" w:rsidRDefault="00087616" w:rsidP="00087616">
      <w:pPr>
        <w:numPr>
          <w:ilvl w:val="0"/>
          <w:numId w:val="12"/>
        </w:numPr>
      </w:pPr>
      <w:r w:rsidRPr="00087616">
        <w:t>Which organisation will undertake the lead for the investigation and subsequent actions in</w:t>
      </w:r>
    </w:p>
    <w:p w14:paraId="4051E52A" w14:textId="77777777" w:rsidR="00087616" w:rsidRPr="00087616" w:rsidRDefault="00087616" w:rsidP="00087616">
      <w:pPr>
        <w:numPr>
          <w:ilvl w:val="0"/>
          <w:numId w:val="12"/>
        </w:numPr>
      </w:pPr>
      <w:r w:rsidRPr="00087616">
        <w:t>accordance with the above mentioned Regulations and identify system wide learning; and,</w:t>
      </w:r>
    </w:p>
    <w:p w14:paraId="009979C0" w14:textId="77777777" w:rsidR="00087616" w:rsidRDefault="00087616" w:rsidP="00087616">
      <w:pPr>
        <w:numPr>
          <w:ilvl w:val="0"/>
          <w:numId w:val="12"/>
        </w:numPr>
      </w:pPr>
      <w:r w:rsidRPr="00087616">
        <w:t>Which organisations will be required to support and contribute to the investigation</w:t>
      </w:r>
    </w:p>
    <w:p w14:paraId="1A98C67B" w14:textId="15307F89" w:rsidR="00087616" w:rsidRPr="00087616" w:rsidRDefault="00087616" w:rsidP="00087616">
      <w:pPr>
        <w:numPr>
          <w:ilvl w:val="0"/>
          <w:numId w:val="12"/>
        </w:numPr>
      </w:pPr>
      <w:r w:rsidRPr="00087616">
        <w:t>This document is aligned with and supported by existing Health Boards and the WAST processes for investigating SIs.</w:t>
      </w:r>
    </w:p>
    <w:p w14:paraId="32DB493E" w14:textId="77777777" w:rsidR="00087616" w:rsidRDefault="00087616" w:rsidP="00087616">
      <w:r>
        <w:t>The scope of the Framework relates to patient safety SIs arising from:</w:t>
      </w:r>
    </w:p>
    <w:p w14:paraId="131D2EAD" w14:textId="77777777" w:rsidR="00087616" w:rsidRDefault="00087616" w:rsidP="00087616">
      <w:pPr>
        <w:pStyle w:val="ListParagraph"/>
        <w:numPr>
          <w:ilvl w:val="0"/>
          <w:numId w:val="13"/>
        </w:numPr>
      </w:pPr>
      <w:r>
        <w:t>Delayed patient handover at Health Board sites; and,</w:t>
      </w:r>
    </w:p>
    <w:p w14:paraId="7B531686" w14:textId="77777777" w:rsidR="00087616" w:rsidRDefault="00087616" w:rsidP="00087616">
      <w:pPr>
        <w:pStyle w:val="ListParagraph"/>
        <w:numPr>
          <w:ilvl w:val="0"/>
          <w:numId w:val="13"/>
        </w:numPr>
      </w:pPr>
      <w:r>
        <w:t>Patients within the community awaiting a response due to delayed handovers.</w:t>
      </w:r>
    </w:p>
    <w:p w14:paraId="0AD21881" w14:textId="65C96C78" w:rsidR="00087616" w:rsidRPr="00087616" w:rsidRDefault="00087616" w:rsidP="00087616">
      <w:r>
        <w:t>From a WAST incident management perspective, the Framework states; “If the root cause of the suspected SI is primarily the result of, or attributed due to the delay in patient handover at hospital sites, the incident will be transferred to the relevant HB/Trust for investigation, and where appropriate, closed on Datix, and, the details of the incident will be passed to the appropriate lead HB/Trust, and the relevant documentation for this is set out in Appendix B: Incident Referral Form”, hence the ‘Appendix B’ reporting process.  The DU (and formally WG) are automatically sent a copy of all Appendix B’s sent to HB/Trusts by WAST for information purposes.</w:t>
      </w:r>
    </w:p>
    <w:p w14:paraId="0068D2FA" w14:textId="534C2C22" w:rsidR="00087616" w:rsidRDefault="00761647" w:rsidP="00320B8B">
      <w:pPr>
        <w:pStyle w:val="Heading2"/>
        <w:spacing w:after="0" w:line="280" w:lineRule="atLeast"/>
        <w:rPr>
          <w:sz w:val="24"/>
        </w:rPr>
      </w:pPr>
      <w:r>
        <w:rPr>
          <w:sz w:val="24"/>
        </w:rPr>
        <w:t>Assessment</w:t>
      </w:r>
    </w:p>
    <w:p w14:paraId="26DFA44E" w14:textId="77777777" w:rsidR="00320B8B" w:rsidRPr="00320B8B" w:rsidRDefault="00320B8B" w:rsidP="00320B8B"/>
    <w:p w14:paraId="010142D7" w14:textId="6E954F0B" w:rsidR="00087616" w:rsidRPr="00087616" w:rsidRDefault="00087616" w:rsidP="00087616">
      <w:r w:rsidRPr="00087616">
        <w:t>To inform this assessment, the DU reviewed 85 Appendix B incident’s, copied to the DU as part of process, between June and November 2021.</w:t>
      </w:r>
      <w:r w:rsidR="00320B8B">
        <w:t xml:space="preserve">  The findings are set out in table 1 below:</w:t>
      </w:r>
    </w:p>
    <w:p w14:paraId="286DF5B1" w14:textId="79B4A745" w:rsidR="00087616" w:rsidRPr="00320B8B" w:rsidRDefault="00320B8B" w:rsidP="00320B8B">
      <w:pPr>
        <w:ind w:firstLine="720"/>
        <w:rPr>
          <w:b/>
        </w:rPr>
      </w:pPr>
      <w:r w:rsidRPr="00320B8B">
        <w:rPr>
          <w:b/>
        </w:rPr>
        <w:t xml:space="preserve">Table 1 </w:t>
      </w:r>
    </w:p>
    <w:tbl>
      <w:tblPr>
        <w:tblStyle w:val="TableGrid"/>
        <w:tblW w:w="0" w:type="auto"/>
        <w:tblInd w:w="337" w:type="dxa"/>
        <w:tblLayout w:type="fixed"/>
        <w:tblLook w:val="04A0" w:firstRow="1" w:lastRow="0" w:firstColumn="1" w:lastColumn="0" w:noHBand="0" w:noVBand="1"/>
      </w:tblPr>
      <w:tblGrid>
        <w:gridCol w:w="3403"/>
        <w:gridCol w:w="3119"/>
        <w:gridCol w:w="3260"/>
      </w:tblGrid>
      <w:tr w:rsidR="00087616" w:rsidRPr="00087616" w14:paraId="7ED90EE4" w14:textId="77777777" w:rsidTr="006A7488">
        <w:tc>
          <w:tcPr>
            <w:tcW w:w="3403" w:type="dxa"/>
            <w:shd w:val="clear" w:color="auto" w:fill="9CC2E5" w:themeFill="accent1" w:themeFillTint="99"/>
          </w:tcPr>
          <w:p w14:paraId="1D775B00" w14:textId="77777777" w:rsidR="00087616" w:rsidRPr="00087616" w:rsidRDefault="00087616" w:rsidP="00087616">
            <w:pPr>
              <w:spacing w:after="160" w:line="259" w:lineRule="auto"/>
              <w:rPr>
                <w:b/>
              </w:rPr>
            </w:pPr>
            <w:r w:rsidRPr="00087616">
              <w:rPr>
                <w:b/>
              </w:rPr>
              <w:t>Information</w:t>
            </w:r>
          </w:p>
        </w:tc>
        <w:tc>
          <w:tcPr>
            <w:tcW w:w="3119" w:type="dxa"/>
            <w:shd w:val="clear" w:color="auto" w:fill="9CC2E5" w:themeFill="accent1" w:themeFillTint="99"/>
          </w:tcPr>
          <w:p w14:paraId="06EAC9DC" w14:textId="77777777" w:rsidR="00087616" w:rsidRPr="00087616" w:rsidRDefault="00087616" w:rsidP="00087616">
            <w:pPr>
              <w:spacing w:after="160" w:line="259" w:lineRule="auto"/>
              <w:rPr>
                <w:b/>
              </w:rPr>
            </w:pPr>
            <w:r w:rsidRPr="00087616">
              <w:rPr>
                <w:b/>
              </w:rPr>
              <w:t>Total Number N=85</w:t>
            </w:r>
          </w:p>
        </w:tc>
        <w:tc>
          <w:tcPr>
            <w:tcW w:w="3260" w:type="dxa"/>
            <w:shd w:val="clear" w:color="auto" w:fill="9CC2E5" w:themeFill="accent1" w:themeFillTint="99"/>
          </w:tcPr>
          <w:p w14:paraId="784EB740" w14:textId="77777777" w:rsidR="00087616" w:rsidRPr="00087616" w:rsidRDefault="00087616" w:rsidP="00087616">
            <w:pPr>
              <w:spacing w:after="160" w:line="259" w:lineRule="auto"/>
              <w:rPr>
                <w:b/>
              </w:rPr>
            </w:pPr>
            <w:r w:rsidRPr="00087616">
              <w:rPr>
                <w:b/>
              </w:rPr>
              <w:t xml:space="preserve">Percentage </w:t>
            </w:r>
          </w:p>
        </w:tc>
      </w:tr>
      <w:tr w:rsidR="00087616" w:rsidRPr="00087616" w14:paraId="638DA75D" w14:textId="77777777" w:rsidTr="006A7488">
        <w:tc>
          <w:tcPr>
            <w:tcW w:w="3403" w:type="dxa"/>
          </w:tcPr>
          <w:p w14:paraId="681D33FE" w14:textId="77777777" w:rsidR="00087616" w:rsidRPr="00087616" w:rsidRDefault="00087616" w:rsidP="00087616">
            <w:pPr>
              <w:spacing w:after="160" w:line="259" w:lineRule="auto"/>
            </w:pPr>
            <w:r w:rsidRPr="00087616">
              <w:t>Outcome is death</w:t>
            </w:r>
          </w:p>
        </w:tc>
        <w:tc>
          <w:tcPr>
            <w:tcW w:w="3119" w:type="dxa"/>
          </w:tcPr>
          <w:p w14:paraId="43607828" w14:textId="77777777" w:rsidR="00087616" w:rsidRPr="00087616" w:rsidRDefault="00087616" w:rsidP="00087616">
            <w:pPr>
              <w:spacing w:after="160" w:line="259" w:lineRule="auto"/>
            </w:pPr>
            <w:r w:rsidRPr="00087616">
              <w:t>71</w:t>
            </w:r>
          </w:p>
        </w:tc>
        <w:tc>
          <w:tcPr>
            <w:tcW w:w="3260" w:type="dxa"/>
          </w:tcPr>
          <w:p w14:paraId="66EE6B0C" w14:textId="77777777" w:rsidR="00087616" w:rsidRPr="00087616" w:rsidRDefault="00087616" w:rsidP="00087616">
            <w:pPr>
              <w:spacing w:after="160" w:line="259" w:lineRule="auto"/>
            </w:pPr>
            <w:r w:rsidRPr="00087616">
              <w:t>84%</w:t>
            </w:r>
          </w:p>
        </w:tc>
      </w:tr>
      <w:tr w:rsidR="00087616" w:rsidRPr="00087616" w14:paraId="2DD53299" w14:textId="77777777" w:rsidTr="006A7488">
        <w:tc>
          <w:tcPr>
            <w:tcW w:w="3403" w:type="dxa"/>
          </w:tcPr>
          <w:p w14:paraId="4C5A8C3A" w14:textId="77777777" w:rsidR="00087616" w:rsidRPr="00087616" w:rsidRDefault="00087616" w:rsidP="00087616">
            <w:pPr>
              <w:spacing w:after="160" w:line="259" w:lineRule="auto"/>
            </w:pPr>
            <w:r w:rsidRPr="00087616">
              <w:t>Recognition of life extinct on arrival (ROLE)</w:t>
            </w:r>
          </w:p>
        </w:tc>
        <w:tc>
          <w:tcPr>
            <w:tcW w:w="3119" w:type="dxa"/>
          </w:tcPr>
          <w:p w14:paraId="48C2670F" w14:textId="77777777" w:rsidR="00087616" w:rsidRPr="00087616" w:rsidRDefault="00087616" w:rsidP="00087616">
            <w:pPr>
              <w:spacing w:after="160" w:line="259" w:lineRule="auto"/>
            </w:pPr>
            <w:r w:rsidRPr="00087616">
              <w:t>61</w:t>
            </w:r>
          </w:p>
        </w:tc>
        <w:tc>
          <w:tcPr>
            <w:tcW w:w="3260" w:type="dxa"/>
          </w:tcPr>
          <w:p w14:paraId="64F88A0E" w14:textId="77777777" w:rsidR="00087616" w:rsidRPr="00087616" w:rsidRDefault="00087616" w:rsidP="00087616">
            <w:pPr>
              <w:spacing w:after="160" w:line="259" w:lineRule="auto"/>
            </w:pPr>
            <w:r w:rsidRPr="00087616">
              <w:t>72%</w:t>
            </w:r>
          </w:p>
        </w:tc>
      </w:tr>
      <w:tr w:rsidR="00087616" w:rsidRPr="00087616" w14:paraId="53A2E54F" w14:textId="77777777" w:rsidTr="006A7488">
        <w:tc>
          <w:tcPr>
            <w:tcW w:w="3403" w:type="dxa"/>
          </w:tcPr>
          <w:p w14:paraId="6702E68E" w14:textId="77777777" w:rsidR="00087616" w:rsidRPr="00087616" w:rsidRDefault="00087616" w:rsidP="00087616">
            <w:pPr>
              <w:spacing w:after="160" w:line="259" w:lineRule="auto"/>
            </w:pPr>
            <w:r w:rsidRPr="00087616">
              <w:t>Initial grading Red</w:t>
            </w:r>
          </w:p>
        </w:tc>
        <w:tc>
          <w:tcPr>
            <w:tcW w:w="3119" w:type="dxa"/>
          </w:tcPr>
          <w:p w14:paraId="7553C0A8" w14:textId="77777777" w:rsidR="00087616" w:rsidRPr="00087616" w:rsidRDefault="00087616" w:rsidP="00087616">
            <w:pPr>
              <w:spacing w:after="160" w:line="259" w:lineRule="auto"/>
            </w:pPr>
            <w:r w:rsidRPr="00087616">
              <w:t>3</w:t>
            </w:r>
          </w:p>
        </w:tc>
        <w:tc>
          <w:tcPr>
            <w:tcW w:w="3260" w:type="dxa"/>
          </w:tcPr>
          <w:p w14:paraId="2912DC87" w14:textId="77777777" w:rsidR="00087616" w:rsidRPr="00087616" w:rsidRDefault="00087616" w:rsidP="00087616">
            <w:pPr>
              <w:spacing w:after="160" w:line="259" w:lineRule="auto"/>
            </w:pPr>
          </w:p>
        </w:tc>
      </w:tr>
      <w:tr w:rsidR="00087616" w:rsidRPr="00087616" w14:paraId="33CD5D6B" w14:textId="77777777" w:rsidTr="006A7488">
        <w:tc>
          <w:tcPr>
            <w:tcW w:w="3403" w:type="dxa"/>
          </w:tcPr>
          <w:p w14:paraId="2B43DF5E" w14:textId="77777777" w:rsidR="00087616" w:rsidRPr="00087616" w:rsidRDefault="00087616" w:rsidP="00087616">
            <w:pPr>
              <w:spacing w:after="160" w:line="259" w:lineRule="auto"/>
            </w:pPr>
            <w:r w:rsidRPr="00087616">
              <w:t>Initial grading Amber 1</w:t>
            </w:r>
          </w:p>
        </w:tc>
        <w:tc>
          <w:tcPr>
            <w:tcW w:w="3119" w:type="dxa"/>
          </w:tcPr>
          <w:p w14:paraId="65DCE08E" w14:textId="77777777" w:rsidR="00087616" w:rsidRPr="00087616" w:rsidRDefault="00087616" w:rsidP="00087616">
            <w:pPr>
              <w:spacing w:after="160" w:line="259" w:lineRule="auto"/>
            </w:pPr>
            <w:r w:rsidRPr="00087616">
              <w:t>64</w:t>
            </w:r>
          </w:p>
        </w:tc>
        <w:tc>
          <w:tcPr>
            <w:tcW w:w="3260" w:type="dxa"/>
          </w:tcPr>
          <w:p w14:paraId="659F8565" w14:textId="77777777" w:rsidR="00087616" w:rsidRPr="00087616" w:rsidRDefault="00087616" w:rsidP="00087616">
            <w:pPr>
              <w:spacing w:after="160" w:line="259" w:lineRule="auto"/>
            </w:pPr>
            <w:r w:rsidRPr="00087616">
              <w:t>75%</w:t>
            </w:r>
          </w:p>
        </w:tc>
      </w:tr>
      <w:tr w:rsidR="00087616" w:rsidRPr="00087616" w14:paraId="3754ACF5" w14:textId="77777777" w:rsidTr="006A7488">
        <w:tc>
          <w:tcPr>
            <w:tcW w:w="3403" w:type="dxa"/>
          </w:tcPr>
          <w:p w14:paraId="688590A9" w14:textId="77777777" w:rsidR="00087616" w:rsidRPr="00087616" w:rsidRDefault="00087616" w:rsidP="00087616">
            <w:pPr>
              <w:spacing w:after="160" w:line="259" w:lineRule="auto"/>
            </w:pPr>
            <w:r w:rsidRPr="00087616">
              <w:t>Total number upgraded following patient deterioration</w:t>
            </w:r>
          </w:p>
        </w:tc>
        <w:tc>
          <w:tcPr>
            <w:tcW w:w="3119" w:type="dxa"/>
          </w:tcPr>
          <w:p w14:paraId="670B8579" w14:textId="77777777" w:rsidR="00087616" w:rsidRPr="00087616" w:rsidRDefault="00087616" w:rsidP="00087616">
            <w:pPr>
              <w:spacing w:after="160" w:line="259" w:lineRule="auto"/>
            </w:pPr>
            <w:r w:rsidRPr="00087616">
              <w:t>57</w:t>
            </w:r>
          </w:p>
        </w:tc>
        <w:tc>
          <w:tcPr>
            <w:tcW w:w="3260" w:type="dxa"/>
          </w:tcPr>
          <w:p w14:paraId="400C6A3E" w14:textId="77777777" w:rsidR="00087616" w:rsidRPr="00087616" w:rsidRDefault="00087616" w:rsidP="00087616">
            <w:pPr>
              <w:spacing w:after="160" w:line="259" w:lineRule="auto"/>
            </w:pPr>
            <w:r w:rsidRPr="00087616">
              <w:t>67%</w:t>
            </w:r>
          </w:p>
        </w:tc>
      </w:tr>
      <w:tr w:rsidR="00087616" w:rsidRPr="00087616" w14:paraId="54C99418" w14:textId="77777777" w:rsidTr="006A7488">
        <w:tc>
          <w:tcPr>
            <w:tcW w:w="3403" w:type="dxa"/>
          </w:tcPr>
          <w:p w14:paraId="467C0414" w14:textId="77777777" w:rsidR="00087616" w:rsidRPr="00087616" w:rsidRDefault="00087616" w:rsidP="00087616">
            <w:pPr>
              <w:spacing w:after="160" w:line="259" w:lineRule="auto"/>
            </w:pPr>
            <w:r w:rsidRPr="00087616">
              <w:t xml:space="preserve">Number upgraded to red following patient deterioration </w:t>
            </w:r>
          </w:p>
        </w:tc>
        <w:tc>
          <w:tcPr>
            <w:tcW w:w="3119" w:type="dxa"/>
          </w:tcPr>
          <w:p w14:paraId="1EB53B46" w14:textId="77777777" w:rsidR="00087616" w:rsidRPr="00087616" w:rsidRDefault="00087616" w:rsidP="00087616">
            <w:pPr>
              <w:spacing w:after="160" w:line="259" w:lineRule="auto"/>
            </w:pPr>
            <w:r w:rsidRPr="00087616">
              <w:t>46</w:t>
            </w:r>
          </w:p>
        </w:tc>
        <w:tc>
          <w:tcPr>
            <w:tcW w:w="3260" w:type="dxa"/>
          </w:tcPr>
          <w:p w14:paraId="29AFB543" w14:textId="77777777" w:rsidR="00087616" w:rsidRPr="00087616" w:rsidRDefault="00087616" w:rsidP="00087616">
            <w:pPr>
              <w:spacing w:after="160" w:line="259" w:lineRule="auto"/>
            </w:pPr>
            <w:r w:rsidRPr="00087616">
              <w:t>54%</w:t>
            </w:r>
          </w:p>
        </w:tc>
      </w:tr>
      <w:tr w:rsidR="00087616" w:rsidRPr="00087616" w14:paraId="1FE9DB20" w14:textId="77777777" w:rsidTr="006A7488">
        <w:tc>
          <w:tcPr>
            <w:tcW w:w="3403" w:type="dxa"/>
          </w:tcPr>
          <w:p w14:paraId="544344DE" w14:textId="77777777" w:rsidR="00087616" w:rsidRPr="00087616" w:rsidRDefault="00087616" w:rsidP="00087616">
            <w:pPr>
              <w:spacing w:after="160" w:line="259" w:lineRule="auto"/>
            </w:pPr>
            <w:r w:rsidRPr="00087616">
              <w:t>WAST operational contributory factors identified</w:t>
            </w:r>
          </w:p>
        </w:tc>
        <w:tc>
          <w:tcPr>
            <w:tcW w:w="3119" w:type="dxa"/>
          </w:tcPr>
          <w:p w14:paraId="33B5E4EC" w14:textId="77777777" w:rsidR="00087616" w:rsidRPr="00087616" w:rsidRDefault="00087616" w:rsidP="00087616">
            <w:pPr>
              <w:spacing w:after="160" w:line="259" w:lineRule="auto"/>
            </w:pPr>
            <w:r w:rsidRPr="00087616">
              <w:t>0</w:t>
            </w:r>
          </w:p>
        </w:tc>
        <w:tc>
          <w:tcPr>
            <w:tcW w:w="3260" w:type="dxa"/>
          </w:tcPr>
          <w:p w14:paraId="641BF744" w14:textId="77777777" w:rsidR="00087616" w:rsidRPr="00087616" w:rsidRDefault="00087616" w:rsidP="00087616">
            <w:pPr>
              <w:spacing w:after="160" w:line="259" w:lineRule="auto"/>
            </w:pPr>
            <w:r w:rsidRPr="00087616">
              <w:t>0%</w:t>
            </w:r>
          </w:p>
        </w:tc>
      </w:tr>
      <w:tr w:rsidR="00087616" w:rsidRPr="00087616" w14:paraId="307BCC73" w14:textId="77777777" w:rsidTr="006A7488">
        <w:tc>
          <w:tcPr>
            <w:tcW w:w="3403" w:type="dxa"/>
          </w:tcPr>
          <w:p w14:paraId="698811EB" w14:textId="77777777" w:rsidR="00087616" w:rsidRPr="00087616" w:rsidRDefault="00087616" w:rsidP="00087616">
            <w:pPr>
              <w:spacing w:after="160" w:line="259" w:lineRule="auto"/>
            </w:pPr>
            <w:r w:rsidRPr="00087616">
              <w:lastRenderedPageBreak/>
              <w:t>Number converted to National Reportable Incidents</w:t>
            </w:r>
          </w:p>
        </w:tc>
        <w:tc>
          <w:tcPr>
            <w:tcW w:w="3119" w:type="dxa"/>
          </w:tcPr>
          <w:p w14:paraId="24246686" w14:textId="77777777" w:rsidR="00087616" w:rsidRPr="00087616" w:rsidRDefault="00087616" w:rsidP="00087616">
            <w:pPr>
              <w:spacing w:after="160" w:line="259" w:lineRule="auto"/>
            </w:pPr>
            <w:r w:rsidRPr="00087616">
              <w:t>0</w:t>
            </w:r>
          </w:p>
        </w:tc>
        <w:tc>
          <w:tcPr>
            <w:tcW w:w="3260" w:type="dxa"/>
          </w:tcPr>
          <w:p w14:paraId="237DE9B7" w14:textId="77777777" w:rsidR="00087616" w:rsidRPr="00087616" w:rsidRDefault="00087616" w:rsidP="00087616">
            <w:pPr>
              <w:spacing w:after="160" w:line="259" w:lineRule="auto"/>
            </w:pPr>
            <w:r w:rsidRPr="00087616">
              <w:t>0%</w:t>
            </w:r>
          </w:p>
        </w:tc>
      </w:tr>
      <w:tr w:rsidR="00087616" w:rsidRPr="00087616" w14:paraId="16B76F4E" w14:textId="77777777" w:rsidTr="006A7488">
        <w:tc>
          <w:tcPr>
            <w:tcW w:w="9782" w:type="dxa"/>
            <w:gridSpan w:val="3"/>
            <w:shd w:val="clear" w:color="auto" w:fill="9CC2E5" w:themeFill="accent1" w:themeFillTint="99"/>
          </w:tcPr>
          <w:p w14:paraId="185F2FBF" w14:textId="77777777" w:rsidR="00087616" w:rsidRPr="00087616" w:rsidRDefault="00087616" w:rsidP="00087616">
            <w:pPr>
              <w:spacing w:after="160" w:line="259" w:lineRule="auto"/>
              <w:rPr>
                <w:b/>
              </w:rPr>
            </w:pPr>
            <w:r w:rsidRPr="00087616">
              <w:rPr>
                <w:b/>
              </w:rPr>
              <w:t>Response Times N=15</w:t>
            </w:r>
          </w:p>
        </w:tc>
      </w:tr>
      <w:tr w:rsidR="00087616" w:rsidRPr="00087616" w14:paraId="1B54639F" w14:textId="77777777" w:rsidTr="006A7488">
        <w:tc>
          <w:tcPr>
            <w:tcW w:w="3403" w:type="dxa"/>
          </w:tcPr>
          <w:p w14:paraId="1635D0AA" w14:textId="77777777" w:rsidR="00087616" w:rsidRPr="00087616" w:rsidRDefault="00087616" w:rsidP="00087616">
            <w:pPr>
              <w:spacing w:after="160" w:line="259" w:lineRule="auto"/>
            </w:pPr>
            <w:r w:rsidRPr="00087616">
              <w:t>Average response time for Amber 1</w:t>
            </w:r>
          </w:p>
        </w:tc>
        <w:tc>
          <w:tcPr>
            <w:tcW w:w="3119" w:type="dxa"/>
          </w:tcPr>
          <w:p w14:paraId="2992CE9E" w14:textId="77777777" w:rsidR="00087616" w:rsidRPr="00087616" w:rsidRDefault="00087616" w:rsidP="00087616">
            <w:pPr>
              <w:spacing w:after="160" w:line="259" w:lineRule="auto"/>
            </w:pPr>
            <w:r w:rsidRPr="00087616">
              <w:t>6 hours 29 minutes</w:t>
            </w:r>
          </w:p>
        </w:tc>
        <w:tc>
          <w:tcPr>
            <w:tcW w:w="3260" w:type="dxa"/>
          </w:tcPr>
          <w:p w14:paraId="000D5A78" w14:textId="77777777" w:rsidR="00087616" w:rsidRPr="00087616" w:rsidRDefault="00087616" w:rsidP="00087616">
            <w:pPr>
              <w:spacing w:after="160" w:line="259" w:lineRule="auto"/>
            </w:pPr>
          </w:p>
        </w:tc>
      </w:tr>
      <w:tr w:rsidR="00087616" w:rsidRPr="00087616" w14:paraId="05F1AF0C" w14:textId="77777777" w:rsidTr="006A7488">
        <w:tc>
          <w:tcPr>
            <w:tcW w:w="3403" w:type="dxa"/>
          </w:tcPr>
          <w:p w14:paraId="0F7E7CD2" w14:textId="77777777" w:rsidR="00087616" w:rsidRPr="00087616" w:rsidRDefault="00087616" w:rsidP="00087616">
            <w:pPr>
              <w:spacing w:after="160" w:line="259" w:lineRule="auto"/>
            </w:pPr>
            <w:r w:rsidRPr="00087616">
              <w:t xml:space="preserve">Average response time once upgraded to red </w:t>
            </w:r>
          </w:p>
        </w:tc>
        <w:tc>
          <w:tcPr>
            <w:tcW w:w="3119" w:type="dxa"/>
          </w:tcPr>
          <w:p w14:paraId="02872BEE" w14:textId="77777777" w:rsidR="00087616" w:rsidRPr="00087616" w:rsidRDefault="00087616" w:rsidP="00087616">
            <w:pPr>
              <w:spacing w:after="160" w:line="259" w:lineRule="auto"/>
            </w:pPr>
            <w:r w:rsidRPr="00087616">
              <w:t>6.5 minutes</w:t>
            </w:r>
          </w:p>
        </w:tc>
        <w:tc>
          <w:tcPr>
            <w:tcW w:w="3260" w:type="dxa"/>
          </w:tcPr>
          <w:p w14:paraId="16AD0050" w14:textId="77777777" w:rsidR="00087616" w:rsidRPr="00087616" w:rsidRDefault="00087616" w:rsidP="00087616">
            <w:pPr>
              <w:spacing w:after="160" w:line="259" w:lineRule="auto"/>
            </w:pPr>
          </w:p>
        </w:tc>
      </w:tr>
    </w:tbl>
    <w:p w14:paraId="23D50965" w14:textId="77777777" w:rsidR="00087616" w:rsidRPr="00087616" w:rsidRDefault="00087616" w:rsidP="00087616"/>
    <w:p w14:paraId="3C0A36AD" w14:textId="08973C43" w:rsidR="00087616" w:rsidRPr="00087616" w:rsidRDefault="00087616" w:rsidP="00087616">
      <w:r w:rsidRPr="00087616">
        <w:t xml:space="preserve">Given that in 71 (84%) of cases the outcome has been death, with the vast majority of these deaths occurring prior to WAST arrival, the data indicates that the window of opportunity to provide medical assistance to seriously unwell patients in the community, classed as Amber 1 calls, is being routinely missed, and likely on the balance of probability to be a causative factor in the timing of patients death, given they were alive at the initial call but deceased upon arrival 6.5 hours later (on average).  </w:t>
      </w:r>
    </w:p>
    <w:p w14:paraId="2E72C8EB" w14:textId="5578FB78" w:rsidR="00087616" w:rsidRPr="00087616" w:rsidRDefault="00087616" w:rsidP="00087616">
      <w:r w:rsidRPr="00087616">
        <w:t xml:space="preserve">There is clear evidence in the Appendix B’s which show how patients are deteriorating over time resulting in several additional calls for assistance, eventually with symptoms resulting in a life threating condition.  Even in cases where death would have occurred in any event regardless of response time, the Appendix B’s illustrate a significant patient experience shortfall, particularly in regard to symptom control and management for these patients suffering a natural end of life acute medical event.  </w:t>
      </w:r>
    </w:p>
    <w:p w14:paraId="07EA0B8F" w14:textId="7D017448" w:rsidR="00087616" w:rsidRPr="00087616" w:rsidRDefault="00087616" w:rsidP="00087616">
      <w:r w:rsidRPr="00087616">
        <w:t xml:space="preserve">Detail within some of the Appendix B’s, such as patient profile and presenting medical complaint, does however indicate that cases of severe avoidable or/and or unexpected harm, which has been caused or contributed to by action or inaction of NHS funded care, in keeping with national patient safety incident policy, is likely to have occurred on a number of occasions.  However, analysis of nationally reported incidents since the 14 June 2021 finds no correlation between the Appendix B’s submitted by WAST to HB/Trusts, and nationally reported patient safety incidents.  This confirms that the management of such incidents is not in keeping with WG national policy. </w:t>
      </w:r>
    </w:p>
    <w:p w14:paraId="235F7757" w14:textId="5786686E" w:rsidR="00087616" w:rsidRDefault="00087616" w:rsidP="00087616">
      <w:r w:rsidRPr="00087616">
        <w:t>The most common contributory factor detailed in the Appendix B is handover delays, where WAST resources are delayed in handing over patients upon at hospital sites in keeping with nationally agreed handover timescales.  No WAST organisational or operational contributory factors were identified in any of the N=85 cases reviewed.  This finding is however not unexpected given the purpose of the Appendix B referral process (incidents relating to extended delays in patient handovers and, where extended delays adversely impact patients within the community awaiting a response).  Analysis of national patient safety incidents reported since 14 June 2021 confirms that WAST actively report other patient safety incidents nationally where handover delays have impacted upon response times, but also where they have identified internal causative factors such as control room errors, and other lost unit hour production (UHP), such as meal breaks and staffing resource availability amongst others.</w:t>
      </w:r>
    </w:p>
    <w:p w14:paraId="2C770C6A" w14:textId="77777777" w:rsidR="000611B5" w:rsidRPr="000611B5" w:rsidRDefault="000611B5" w:rsidP="000611B5">
      <w:r w:rsidRPr="000611B5">
        <w:t>Intelligence gathered from conversations with all organisations including WAST indicates that whilst organisations remain committed to the principles of the Framework, operational and cultural influences such as ‘blame’ and responsibility for patients waiting in the community for care, are barriers to affective investigations and reporting.  There is also evidence of learned helplessness that the system pressures make investigations less valuable because the same causative effects exist.  However, without a proportionate and questioning investigation approach, it is likely learning opportunities are being missed, notwithstanding a substandard response to patients, families and staff who will be impacted.</w:t>
      </w:r>
    </w:p>
    <w:p w14:paraId="22A5C28E" w14:textId="77777777" w:rsidR="00BB3776" w:rsidRDefault="000611B5" w:rsidP="000611B5">
      <w:r w:rsidRPr="000611B5">
        <w:t xml:space="preserve">Whilst the Framework, commonly referred to as the Joint Investigation Protocol (JIP) remains operational, there have been national policy changes with regards to ‘Serious Incident’ management, which have occurred since the Framework was developed.  The Framework, which was scheduled for review in September 2020, still refers to the reporting and management of SIs in keeping with the National Health Service (NHS) (Concerns, Complaints and Redress Arrangements) (Wales) Regulations (referred to as the Regulations), and the Putting Things Right (PTR) supporting guidance on dealing with concerns about the NHS (version 3).  </w:t>
      </w:r>
    </w:p>
    <w:p w14:paraId="77D2B681" w14:textId="00E9C135" w:rsidR="000611B5" w:rsidRDefault="000611B5" w:rsidP="000611B5">
      <w:bookmarkStart w:id="0" w:name="_GoBack"/>
      <w:bookmarkEnd w:id="0"/>
      <w:r w:rsidRPr="000611B5">
        <w:lastRenderedPageBreak/>
        <w:t>However, changes to the management and reporting of patient safety incidents occurred on the 14 June 2021 with the introduction of a new WG National Patient Safety Incident policy, which dropped the use of Serious Incident (SI) terminology, instead referring to such incidents as ‘Nationally Reportable Patient Safety Incidents’.  The Framework is no longer consistent with national policy and arrangements.</w:t>
      </w:r>
    </w:p>
    <w:p w14:paraId="78915D27" w14:textId="77777777" w:rsidR="00320B8B" w:rsidRPr="00320B8B" w:rsidRDefault="00320B8B" w:rsidP="00320B8B">
      <w:pPr>
        <w:rPr>
          <w:b/>
        </w:rPr>
      </w:pPr>
      <w:r w:rsidRPr="00320B8B">
        <w:rPr>
          <w:b/>
        </w:rPr>
        <w:t>In summary</w:t>
      </w:r>
    </w:p>
    <w:p w14:paraId="19B22393" w14:textId="159B1773" w:rsidR="00320B8B" w:rsidRPr="00320B8B" w:rsidRDefault="00320B8B" w:rsidP="00320B8B">
      <w:r w:rsidRPr="00320B8B">
        <w:t>Cross analysis of the Appendix B’s, with nationally reported patient safety incidents, indicates the high likelihood that incidents of avoidable patient safety harm and death are not being adequately investigated and reported nationally</w:t>
      </w:r>
      <w:r>
        <w:t>, and</w:t>
      </w:r>
      <w:r w:rsidRPr="00320B8B">
        <w:t xml:space="preserve"> in keeping with either the previous WG national policy and guidance regarding patient safety incidents, or the updated policy since 14 June 2021.  The Framework is no longer in keeping with national policy requirements.  </w:t>
      </w:r>
    </w:p>
    <w:p w14:paraId="7729AF2F" w14:textId="620B7FF6" w:rsidR="00320B8B" w:rsidRPr="000611B5" w:rsidRDefault="00320B8B" w:rsidP="00320B8B">
      <w:r w:rsidRPr="00320B8B">
        <w:t xml:space="preserve">A breakdown in communication, and the intended collaboration between WAST as the identifying organisation, and HB/Trusts as the commissioning organisations, is resulting in Appendix B’s not being adequately investigated and reported nationally where applicable.  National data on the harm being caused by system pressures, impacting on WASTs ability to respond and treat seriously unwell patients in the community, is not being captured.  Therefore, learning opportunities to improve patient safety, and reduce adverse harm, notwithstanding the system pressures, is being lost.      </w:t>
      </w:r>
    </w:p>
    <w:p w14:paraId="2F7459D2" w14:textId="489936C3" w:rsidR="007C333C" w:rsidRDefault="00972954" w:rsidP="00972954">
      <w:pPr>
        <w:pStyle w:val="Heading2"/>
        <w:spacing w:after="0" w:line="280" w:lineRule="atLeast"/>
        <w:rPr>
          <w:sz w:val="24"/>
        </w:rPr>
      </w:pPr>
      <w:r w:rsidRPr="00972954">
        <w:rPr>
          <w:sz w:val="24"/>
        </w:rPr>
        <w:t>R</w:t>
      </w:r>
      <w:r w:rsidR="007C333C" w:rsidRPr="00972954">
        <w:rPr>
          <w:sz w:val="24"/>
        </w:rPr>
        <w:t>ecommendations</w:t>
      </w:r>
      <w:r w:rsidR="007C333C" w:rsidRPr="00355537">
        <w:rPr>
          <w:sz w:val="24"/>
        </w:rPr>
        <w:t xml:space="preserve"> </w:t>
      </w:r>
    </w:p>
    <w:p w14:paraId="38D6A66A" w14:textId="77777777" w:rsidR="00320B8B" w:rsidRPr="00320B8B" w:rsidRDefault="00320B8B" w:rsidP="00320B8B"/>
    <w:p w14:paraId="5903ACB4" w14:textId="278C6387" w:rsidR="000611B5" w:rsidRPr="000611B5" w:rsidRDefault="000611B5" w:rsidP="000611B5">
      <w:pPr>
        <w:numPr>
          <w:ilvl w:val="0"/>
          <w:numId w:val="14"/>
        </w:numPr>
        <w:spacing w:line="280" w:lineRule="atLeast"/>
      </w:pPr>
      <w:r w:rsidRPr="000611B5">
        <w:t xml:space="preserve">A task and finish group is established to revisit the Framework to ensure the process is fit for purpose, and </w:t>
      </w:r>
      <w:r w:rsidR="00D06669">
        <w:t xml:space="preserve">consider how best </w:t>
      </w:r>
      <w:r w:rsidRPr="000611B5">
        <w:t>to reflect current national policy regarding patient safety incidents.  This should include ho</w:t>
      </w:r>
      <w:r w:rsidR="00794538">
        <w:t>w incidents are reported in keeping with</w:t>
      </w:r>
      <w:r w:rsidRPr="000611B5">
        <w:t xml:space="preserve"> national reporting</w:t>
      </w:r>
      <w:r w:rsidR="00794538">
        <w:t xml:space="preserve"> policy and</w:t>
      </w:r>
      <w:r w:rsidRPr="000611B5">
        <w:t xml:space="preserve"> responsibilities, and what minimum information sharing standards will be set, as to ensure comprehensive investigation are conducted.</w:t>
      </w:r>
    </w:p>
    <w:p w14:paraId="51752851" w14:textId="5B61D0F4" w:rsidR="000611B5" w:rsidRPr="00590788" w:rsidRDefault="000611B5" w:rsidP="000611B5">
      <w:pPr>
        <w:numPr>
          <w:ilvl w:val="0"/>
          <w:numId w:val="14"/>
        </w:numPr>
        <w:spacing w:line="280" w:lineRule="atLeast"/>
      </w:pPr>
      <w:r w:rsidRPr="00590788">
        <w:t>The task and finish group should be coordinated by the Emergency Ambulance Services Committee (EASC), as the body responsible for the delivery of WAST services, and the commissioning arrangements between WAST and HB/Trusts.  The</w:t>
      </w:r>
      <w:r w:rsidR="00794538" w:rsidRPr="00590788">
        <w:t xml:space="preserve"> DU will support </w:t>
      </w:r>
      <w:r w:rsidRPr="00590788">
        <w:t>the process to ensure alignment with national policy</w:t>
      </w:r>
      <w:r w:rsidR="00794538" w:rsidRPr="00590788">
        <w:t xml:space="preserve"> requirements</w:t>
      </w:r>
    </w:p>
    <w:p w14:paraId="3CE80669" w14:textId="77777777" w:rsidR="00D06669" w:rsidRDefault="00794538" w:rsidP="000611B5">
      <w:pPr>
        <w:numPr>
          <w:ilvl w:val="0"/>
          <w:numId w:val="14"/>
        </w:numPr>
        <w:spacing w:line="280" w:lineRule="atLeast"/>
      </w:pPr>
      <w:r w:rsidRPr="00590788">
        <w:t xml:space="preserve">Internal governance – WAST and EASC will update their relevant Committee/Board </w:t>
      </w:r>
    </w:p>
    <w:p w14:paraId="01787C08" w14:textId="23694D2E" w:rsidR="00054F41" w:rsidRPr="00590788" w:rsidRDefault="00D06669" w:rsidP="000611B5">
      <w:pPr>
        <w:numPr>
          <w:ilvl w:val="0"/>
          <w:numId w:val="14"/>
        </w:numPr>
        <w:spacing w:line="280" w:lineRule="atLeast"/>
      </w:pPr>
      <w:r>
        <w:t xml:space="preserve">The NHS Delivery Unit Quality and Safety Team will seek assurances from </w:t>
      </w:r>
      <w:r w:rsidR="00794538" w:rsidRPr="00590788">
        <w:t>Nurse Directors</w:t>
      </w:r>
      <w:r>
        <w:t xml:space="preserve">/HB that they have assessed all their Appendix B since June 2021 to determine if they meet national reporting patient safety threshold </w:t>
      </w:r>
      <w:r w:rsidR="00054F41" w:rsidRPr="00590788">
        <w:t xml:space="preserve"> </w:t>
      </w:r>
    </w:p>
    <w:p w14:paraId="4ED427E8" w14:textId="77777777" w:rsidR="000611B5" w:rsidRDefault="000611B5" w:rsidP="000611B5">
      <w:pPr>
        <w:pStyle w:val="ListParagraph"/>
      </w:pPr>
    </w:p>
    <w:p w14:paraId="6ABBE2BE" w14:textId="6DF62791" w:rsidR="000611B5" w:rsidRPr="00320B8B" w:rsidRDefault="00320B8B" w:rsidP="00320B8B">
      <w:pPr>
        <w:spacing w:line="280" w:lineRule="atLeast"/>
        <w:rPr>
          <w:b/>
        </w:rPr>
      </w:pPr>
      <w:r w:rsidRPr="00320B8B">
        <w:rPr>
          <w:b/>
        </w:rPr>
        <w:t>Attachments</w:t>
      </w:r>
    </w:p>
    <w:p w14:paraId="1758DF96" w14:textId="74C67B3E" w:rsidR="00320B8B" w:rsidRDefault="00320B8B" w:rsidP="000611B5">
      <w:pPr>
        <w:spacing w:line="280" w:lineRule="atLeast"/>
      </w:pPr>
      <w:r>
        <w:object w:dxaOrig="1524" w:dyaOrig="992" w14:anchorId="087254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7pt;height:76.5pt" o:ole="">
            <v:imagedata r:id="rId8" o:title=""/>
          </v:shape>
          <o:OLEObject Type="Embed" ProgID="AcroExch.Document.DC" ShapeID="_x0000_i1025" DrawAspect="Icon" ObjectID="_1713104183" r:id="rId9"/>
        </w:object>
      </w:r>
    </w:p>
    <w:sectPr w:rsidR="00320B8B" w:rsidSect="00944C6F">
      <w:headerReference w:type="default" r:id="rId10"/>
      <w:footerReference w:type="default" r:id="rId11"/>
      <w:headerReference w:type="first" r:id="rId12"/>
      <w:footerReference w:type="first" r:id="rId13"/>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E59F2B" w14:textId="77777777" w:rsidR="002106FF" w:rsidRDefault="002106FF">
      <w:pPr>
        <w:spacing w:after="0" w:line="240" w:lineRule="auto"/>
      </w:pPr>
      <w:r>
        <w:separator/>
      </w:r>
    </w:p>
  </w:endnote>
  <w:endnote w:type="continuationSeparator" w:id="0">
    <w:p w14:paraId="2287C42D" w14:textId="77777777" w:rsidR="002106FF" w:rsidRDefault="002106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202855" w14:textId="7C106CC8" w:rsidR="003051DD" w:rsidRPr="003051DD" w:rsidRDefault="003051DD" w:rsidP="003051DD">
    <w:pPr>
      <w:pStyle w:val="Footer"/>
      <w:jc w:val="right"/>
      <w:rPr>
        <w:sz w:val="18"/>
      </w:rPr>
    </w:pPr>
    <w:r w:rsidRPr="00944C6F">
      <w:rPr>
        <w:sz w:val="18"/>
      </w:rPr>
      <w:t xml:space="preserve">Page </w:t>
    </w:r>
    <w:r w:rsidRPr="00944C6F">
      <w:rPr>
        <w:b/>
        <w:bCs/>
        <w:sz w:val="18"/>
      </w:rPr>
      <w:fldChar w:fldCharType="begin"/>
    </w:r>
    <w:r w:rsidRPr="00944C6F">
      <w:rPr>
        <w:b/>
        <w:bCs/>
        <w:sz w:val="18"/>
      </w:rPr>
      <w:instrText xml:space="preserve"> PAGE  \* Arabic  \* MERGEFORMAT </w:instrText>
    </w:r>
    <w:r w:rsidRPr="00944C6F">
      <w:rPr>
        <w:b/>
        <w:bCs/>
        <w:sz w:val="18"/>
      </w:rPr>
      <w:fldChar w:fldCharType="separate"/>
    </w:r>
    <w:r w:rsidR="00D8675E">
      <w:rPr>
        <w:b/>
        <w:bCs/>
        <w:noProof/>
        <w:sz w:val="18"/>
      </w:rPr>
      <w:t>4</w:t>
    </w:r>
    <w:r w:rsidRPr="00944C6F">
      <w:rPr>
        <w:b/>
        <w:bCs/>
        <w:sz w:val="18"/>
      </w:rPr>
      <w:fldChar w:fldCharType="end"/>
    </w:r>
    <w:r w:rsidRPr="00944C6F">
      <w:rPr>
        <w:sz w:val="18"/>
      </w:rPr>
      <w:t xml:space="preserve"> of </w:t>
    </w:r>
    <w:r w:rsidRPr="00944C6F">
      <w:rPr>
        <w:b/>
        <w:bCs/>
        <w:sz w:val="18"/>
      </w:rPr>
      <w:fldChar w:fldCharType="begin"/>
    </w:r>
    <w:r w:rsidRPr="00944C6F">
      <w:rPr>
        <w:b/>
        <w:bCs/>
        <w:sz w:val="18"/>
      </w:rPr>
      <w:instrText xml:space="preserve"> NUMPAGES  \* Arabic  \* MERGEFORMAT </w:instrText>
    </w:r>
    <w:r w:rsidRPr="00944C6F">
      <w:rPr>
        <w:b/>
        <w:bCs/>
        <w:sz w:val="18"/>
      </w:rPr>
      <w:fldChar w:fldCharType="separate"/>
    </w:r>
    <w:r w:rsidR="00D8675E">
      <w:rPr>
        <w:b/>
        <w:bCs/>
        <w:noProof/>
        <w:sz w:val="18"/>
      </w:rPr>
      <w:t>4</w:t>
    </w:r>
    <w:r w:rsidRPr="00944C6F">
      <w:rPr>
        <w:b/>
        <w:bCs/>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913681" w14:textId="46EAE766" w:rsidR="0086438C" w:rsidRPr="00944C6F" w:rsidRDefault="007B07E1" w:rsidP="0086438C">
    <w:pPr>
      <w:pStyle w:val="Footer"/>
      <w:jc w:val="right"/>
      <w:rPr>
        <w:sz w:val="18"/>
      </w:rPr>
    </w:pPr>
    <w:r>
      <w:rPr>
        <w:sz w:val="18"/>
      </w:rPr>
      <w:t xml:space="preserve">V1.1 15.03.22 </w:t>
    </w:r>
    <w:r w:rsidR="007C333C" w:rsidRPr="00944C6F">
      <w:rPr>
        <w:sz w:val="18"/>
      </w:rPr>
      <w:t xml:space="preserve">Page </w:t>
    </w:r>
    <w:r w:rsidR="007C333C" w:rsidRPr="00944C6F">
      <w:rPr>
        <w:b/>
        <w:bCs/>
        <w:sz w:val="18"/>
      </w:rPr>
      <w:fldChar w:fldCharType="begin"/>
    </w:r>
    <w:r w:rsidR="007C333C" w:rsidRPr="00944C6F">
      <w:rPr>
        <w:b/>
        <w:bCs/>
        <w:sz w:val="18"/>
      </w:rPr>
      <w:instrText xml:space="preserve"> PAGE  \* Arabic  \* MERGEFORMAT </w:instrText>
    </w:r>
    <w:r w:rsidR="007C333C" w:rsidRPr="00944C6F">
      <w:rPr>
        <w:b/>
        <w:bCs/>
        <w:sz w:val="18"/>
      </w:rPr>
      <w:fldChar w:fldCharType="separate"/>
    </w:r>
    <w:r w:rsidR="00D8675E">
      <w:rPr>
        <w:b/>
        <w:bCs/>
        <w:noProof/>
        <w:sz w:val="18"/>
      </w:rPr>
      <w:t>1</w:t>
    </w:r>
    <w:r w:rsidR="007C333C" w:rsidRPr="00944C6F">
      <w:rPr>
        <w:b/>
        <w:bCs/>
        <w:sz w:val="18"/>
      </w:rPr>
      <w:fldChar w:fldCharType="end"/>
    </w:r>
    <w:r w:rsidR="007C333C" w:rsidRPr="00944C6F">
      <w:rPr>
        <w:sz w:val="18"/>
      </w:rPr>
      <w:t xml:space="preserve"> of </w:t>
    </w:r>
    <w:r w:rsidR="007C333C" w:rsidRPr="00944C6F">
      <w:rPr>
        <w:b/>
        <w:bCs/>
        <w:sz w:val="18"/>
      </w:rPr>
      <w:fldChar w:fldCharType="begin"/>
    </w:r>
    <w:r w:rsidR="007C333C" w:rsidRPr="00944C6F">
      <w:rPr>
        <w:b/>
        <w:bCs/>
        <w:sz w:val="18"/>
      </w:rPr>
      <w:instrText xml:space="preserve"> NUMPAGES  \* Arabic  \* MERGEFORMAT </w:instrText>
    </w:r>
    <w:r w:rsidR="007C333C" w:rsidRPr="00944C6F">
      <w:rPr>
        <w:b/>
        <w:bCs/>
        <w:sz w:val="18"/>
      </w:rPr>
      <w:fldChar w:fldCharType="separate"/>
    </w:r>
    <w:r w:rsidR="00D8675E">
      <w:rPr>
        <w:b/>
        <w:bCs/>
        <w:noProof/>
        <w:sz w:val="18"/>
      </w:rPr>
      <w:t>4</w:t>
    </w:r>
    <w:r w:rsidR="007C333C" w:rsidRPr="00944C6F">
      <w:rPr>
        <w:b/>
        <w:bCs/>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D3FD54" w14:textId="77777777" w:rsidR="002106FF" w:rsidRDefault="002106FF">
      <w:pPr>
        <w:spacing w:after="0" w:line="240" w:lineRule="auto"/>
      </w:pPr>
      <w:r>
        <w:separator/>
      </w:r>
    </w:p>
  </w:footnote>
  <w:footnote w:type="continuationSeparator" w:id="0">
    <w:p w14:paraId="530BE79F" w14:textId="77777777" w:rsidR="002106FF" w:rsidRDefault="002106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605732" w14:textId="77777777" w:rsidR="00CC436A" w:rsidRDefault="00BB3776" w:rsidP="00CC436A">
    <w:pPr>
      <w:pStyle w:val="Header"/>
      <w:spacing w:after="240"/>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E74863" w14:textId="77777777" w:rsidR="0086438C" w:rsidRDefault="007C333C" w:rsidP="0086438C">
    <w:pPr>
      <w:pStyle w:val="Header"/>
      <w:spacing w:after="240"/>
      <w:jc w:val="center"/>
    </w:pPr>
    <w:r>
      <w:rPr>
        <w:noProof/>
        <w:lang w:eastAsia="en-GB"/>
      </w:rPr>
      <w:drawing>
        <wp:inline distT="0" distB="0" distL="0" distR="0" wp14:anchorId="443AC4F1" wp14:editId="1DA22001">
          <wp:extent cx="2278974" cy="495273"/>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U logo.png"/>
                  <pic:cNvPicPr/>
                </pic:nvPicPr>
                <pic:blipFill>
                  <a:blip r:embed="rId1">
                    <a:extLst>
                      <a:ext uri="{28A0092B-C50C-407E-A947-70E740481C1C}">
                        <a14:useLocalDpi xmlns:a14="http://schemas.microsoft.com/office/drawing/2010/main" val="0"/>
                      </a:ext>
                    </a:extLst>
                  </a:blip>
                  <a:stretch>
                    <a:fillRect/>
                  </a:stretch>
                </pic:blipFill>
                <pic:spPr>
                  <a:xfrm>
                    <a:off x="0" y="0"/>
                    <a:ext cx="2339060" cy="5083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A35D1"/>
    <w:multiLevelType w:val="hybridMultilevel"/>
    <w:tmpl w:val="9C305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E76F37"/>
    <w:multiLevelType w:val="hybridMultilevel"/>
    <w:tmpl w:val="A1BAC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233906"/>
    <w:multiLevelType w:val="hybridMultilevel"/>
    <w:tmpl w:val="C34E0E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2A025BEF"/>
    <w:multiLevelType w:val="hybridMultilevel"/>
    <w:tmpl w:val="5F189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EA7D02"/>
    <w:multiLevelType w:val="hybridMultilevel"/>
    <w:tmpl w:val="C6FC5A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0BD04BF"/>
    <w:multiLevelType w:val="hybridMultilevel"/>
    <w:tmpl w:val="7AA8E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F83B8D"/>
    <w:multiLevelType w:val="hybridMultilevel"/>
    <w:tmpl w:val="BD4C9B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63845C6"/>
    <w:multiLevelType w:val="hybridMultilevel"/>
    <w:tmpl w:val="8FA65A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B2347B8"/>
    <w:multiLevelType w:val="hybridMultilevel"/>
    <w:tmpl w:val="43C40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0847FBF"/>
    <w:multiLevelType w:val="hybridMultilevel"/>
    <w:tmpl w:val="E8F46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3C25F7B"/>
    <w:multiLevelType w:val="hybridMultilevel"/>
    <w:tmpl w:val="94983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4740587"/>
    <w:multiLevelType w:val="hybridMultilevel"/>
    <w:tmpl w:val="77207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C3484D"/>
    <w:multiLevelType w:val="hybridMultilevel"/>
    <w:tmpl w:val="9F24BE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886A81"/>
    <w:multiLevelType w:val="hybridMultilevel"/>
    <w:tmpl w:val="70A849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5"/>
  </w:num>
  <w:num w:numId="5">
    <w:abstractNumId w:val="9"/>
  </w:num>
  <w:num w:numId="6">
    <w:abstractNumId w:val="12"/>
  </w:num>
  <w:num w:numId="7">
    <w:abstractNumId w:val="7"/>
  </w:num>
  <w:num w:numId="8">
    <w:abstractNumId w:val="10"/>
  </w:num>
  <w:num w:numId="9">
    <w:abstractNumId w:val="13"/>
  </w:num>
  <w:num w:numId="10">
    <w:abstractNumId w:val="4"/>
  </w:num>
  <w:num w:numId="11">
    <w:abstractNumId w:val="2"/>
  </w:num>
  <w:num w:numId="12">
    <w:abstractNumId w:val="6"/>
  </w:num>
  <w:num w:numId="13">
    <w:abstractNumId w:val="11"/>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333C"/>
    <w:rsid w:val="000066FF"/>
    <w:rsid w:val="00012D8F"/>
    <w:rsid w:val="000466D5"/>
    <w:rsid w:val="00054F41"/>
    <w:rsid w:val="000611B5"/>
    <w:rsid w:val="00080C3A"/>
    <w:rsid w:val="00085709"/>
    <w:rsid w:val="00087616"/>
    <w:rsid w:val="000A5D26"/>
    <w:rsid w:val="00112CF0"/>
    <w:rsid w:val="00137AE6"/>
    <w:rsid w:val="00175F7E"/>
    <w:rsid w:val="001A7288"/>
    <w:rsid w:val="001D2167"/>
    <w:rsid w:val="001D626A"/>
    <w:rsid w:val="00200536"/>
    <w:rsid w:val="002106FF"/>
    <w:rsid w:val="00222DA6"/>
    <w:rsid w:val="002403F4"/>
    <w:rsid w:val="003051DD"/>
    <w:rsid w:val="00305BC6"/>
    <w:rsid w:val="00320B8B"/>
    <w:rsid w:val="00345445"/>
    <w:rsid w:val="00355537"/>
    <w:rsid w:val="00380E71"/>
    <w:rsid w:val="004166FD"/>
    <w:rsid w:val="00422EE8"/>
    <w:rsid w:val="004A540B"/>
    <w:rsid w:val="004E55FC"/>
    <w:rsid w:val="00590788"/>
    <w:rsid w:val="005A0D1B"/>
    <w:rsid w:val="005F179B"/>
    <w:rsid w:val="006E3A31"/>
    <w:rsid w:val="0074037A"/>
    <w:rsid w:val="00761647"/>
    <w:rsid w:val="00783CBF"/>
    <w:rsid w:val="00786815"/>
    <w:rsid w:val="00794538"/>
    <w:rsid w:val="007A1FBB"/>
    <w:rsid w:val="007B07E1"/>
    <w:rsid w:val="007C333C"/>
    <w:rsid w:val="007E75F5"/>
    <w:rsid w:val="008128B1"/>
    <w:rsid w:val="00847FC9"/>
    <w:rsid w:val="0088272B"/>
    <w:rsid w:val="00884F94"/>
    <w:rsid w:val="008A2698"/>
    <w:rsid w:val="008C77E0"/>
    <w:rsid w:val="00906A3B"/>
    <w:rsid w:val="00950966"/>
    <w:rsid w:val="00972954"/>
    <w:rsid w:val="00986414"/>
    <w:rsid w:val="00A350ED"/>
    <w:rsid w:val="00AA4D06"/>
    <w:rsid w:val="00AD707E"/>
    <w:rsid w:val="00AE7403"/>
    <w:rsid w:val="00B56EFF"/>
    <w:rsid w:val="00BB3776"/>
    <w:rsid w:val="00C74337"/>
    <w:rsid w:val="00C8791F"/>
    <w:rsid w:val="00CC18D6"/>
    <w:rsid w:val="00D03F46"/>
    <w:rsid w:val="00D06669"/>
    <w:rsid w:val="00D3186F"/>
    <w:rsid w:val="00D530EB"/>
    <w:rsid w:val="00D8675E"/>
    <w:rsid w:val="00D97B67"/>
    <w:rsid w:val="00DC3EE1"/>
    <w:rsid w:val="00DC60FB"/>
    <w:rsid w:val="00E365AB"/>
    <w:rsid w:val="00E67976"/>
    <w:rsid w:val="00E77FF3"/>
    <w:rsid w:val="00EC3F62"/>
    <w:rsid w:val="00ED2BCF"/>
    <w:rsid w:val="00EE1993"/>
    <w:rsid w:val="00EE766C"/>
    <w:rsid w:val="00F03B9E"/>
    <w:rsid w:val="00F370A5"/>
    <w:rsid w:val="00F553C8"/>
    <w:rsid w:val="00F91691"/>
    <w:rsid w:val="00FA22FF"/>
    <w:rsid w:val="00FD64EC"/>
    <w:rsid w:val="00FE76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DFE9303"/>
  <w15:chartTrackingRefBased/>
  <w15:docId w15:val="{B4A36082-652D-4F23-87E4-66EDA9854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333C"/>
  </w:style>
  <w:style w:type="paragraph" w:styleId="Heading2">
    <w:name w:val="heading 2"/>
    <w:basedOn w:val="Normal"/>
    <w:next w:val="Normal"/>
    <w:link w:val="Heading2Char"/>
    <w:uiPriority w:val="9"/>
    <w:unhideWhenUsed/>
    <w:qFormat/>
    <w:rsid w:val="007C333C"/>
    <w:pPr>
      <w:spacing w:before="240" w:after="120" w:line="240" w:lineRule="auto"/>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C333C"/>
    <w:rPr>
      <w:b/>
    </w:rPr>
  </w:style>
  <w:style w:type="paragraph" w:styleId="Header">
    <w:name w:val="header"/>
    <w:basedOn w:val="Normal"/>
    <w:link w:val="HeaderChar"/>
    <w:uiPriority w:val="99"/>
    <w:unhideWhenUsed/>
    <w:rsid w:val="007C33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333C"/>
  </w:style>
  <w:style w:type="paragraph" w:styleId="Footer">
    <w:name w:val="footer"/>
    <w:basedOn w:val="Normal"/>
    <w:link w:val="FooterChar"/>
    <w:uiPriority w:val="99"/>
    <w:unhideWhenUsed/>
    <w:rsid w:val="007C33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333C"/>
  </w:style>
  <w:style w:type="paragraph" w:styleId="BalloonText">
    <w:name w:val="Balloon Text"/>
    <w:basedOn w:val="Normal"/>
    <w:link w:val="BalloonTextChar"/>
    <w:uiPriority w:val="99"/>
    <w:semiHidden/>
    <w:unhideWhenUsed/>
    <w:rsid w:val="007868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86815"/>
    <w:rPr>
      <w:rFonts w:ascii="Segoe UI" w:hAnsi="Segoe UI" w:cs="Segoe UI"/>
      <w:sz w:val="18"/>
      <w:szCs w:val="18"/>
    </w:rPr>
  </w:style>
  <w:style w:type="character" w:styleId="CommentReference">
    <w:name w:val="annotation reference"/>
    <w:basedOn w:val="DefaultParagraphFont"/>
    <w:uiPriority w:val="99"/>
    <w:semiHidden/>
    <w:unhideWhenUsed/>
    <w:rsid w:val="00305BC6"/>
    <w:rPr>
      <w:sz w:val="16"/>
      <w:szCs w:val="16"/>
    </w:rPr>
  </w:style>
  <w:style w:type="paragraph" w:styleId="CommentText">
    <w:name w:val="annotation text"/>
    <w:basedOn w:val="Normal"/>
    <w:link w:val="CommentTextChar"/>
    <w:uiPriority w:val="99"/>
    <w:semiHidden/>
    <w:unhideWhenUsed/>
    <w:rsid w:val="00305BC6"/>
    <w:pPr>
      <w:spacing w:line="240" w:lineRule="auto"/>
    </w:pPr>
    <w:rPr>
      <w:sz w:val="20"/>
      <w:szCs w:val="20"/>
    </w:rPr>
  </w:style>
  <w:style w:type="character" w:customStyle="1" w:styleId="CommentTextChar">
    <w:name w:val="Comment Text Char"/>
    <w:basedOn w:val="DefaultParagraphFont"/>
    <w:link w:val="CommentText"/>
    <w:uiPriority w:val="99"/>
    <w:semiHidden/>
    <w:rsid w:val="00305BC6"/>
    <w:rPr>
      <w:sz w:val="20"/>
      <w:szCs w:val="20"/>
    </w:rPr>
  </w:style>
  <w:style w:type="paragraph" w:styleId="CommentSubject">
    <w:name w:val="annotation subject"/>
    <w:basedOn w:val="CommentText"/>
    <w:next w:val="CommentText"/>
    <w:link w:val="CommentSubjectChar"/>
    <w:uiPriority w:val="99"/>
    <w:semiHidden/>
    <w:unhideWhenUsed/>
    <w:rsid w:val="00305BC6"/>
    <w:rPr>
      <w:b/>
      <w:bCs/>
    </w:rPr>
  </w:style>
  <w:style w:type="character" w:customStyle="1" w:styleId="CommentSubjectChar">
    <w:name w:val="Comment Subject Char"/>
    <w:basedOn w:val="CommentTextChar"/>
    <w:link w:val="CommentSubject"/>
    <w:uiPriority w:val="99"/>
    <w:semiHidden/>
    <w:rsid w:val="00305BC6"/>
    <w:rPr>
      <w:b/>
      <w:bCs/>
      <w:sz w:val="20"/>
      <w:szCs w:val="20"/>
    </w:rPr>
  </w:style>
  <w:style w:type="paragraph" w:customStyle="1" w:styleId="Default">
    <w:name w:val="Default"/>
    <w:rsid w:val="00EC3F62"/>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087616"/>
    <w:pPr>
      <w:ind w:left="720"/>
      <w:contextualSpacing/>
    </w:pPr>
  </w:style>
  <w:style w:type="table" w:styleId="TableGrid">
    <w:name w:val="Table Grid"/>
    <w:basedOn w:val="TableNormal"/>
    <w:uiPriority w:val="39"/>
    <w:rsid w:val="000876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33D950-B0D5-4755-8F87-4F59412B5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1833</Words>
  <Characters>10453</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Harries (NHS Wales - Delivery Unit - Delivery Unit)</dc:creator>
  <cp:keywords/>
  <dc:description/>
  <cp:lastModifiedBy>Gwenan Roberts (CTM UHB - NCCU Corporate Services)</cp:lastModifiedBy>
  <cp:revision>3</cp:revision>
  <cp:lastPrinted>2021-07-06T18:36:00Z</cp:lastPrinted>
  <dcterms:created xsi:type="dcterms:W3CDTF">2022-05-03T15:39:00Z</dcterms:created>
  <dcterms:modified xsi:type="dcterms:W3CDTF">2022-05-03T16:29:00Z</dcterms:modified>
</cp:coreProperties>
</file>