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115" w:type="dxa"/>
        <w:tblInd w:w="6519" w:type="dxa"/>
        <w:tblLook w:val="04A0" w:firstRow="1" w:lastRow="0" w:firstColumn="1" w:lastColumn="0" w:noHBand="0" w:noVBand="1"/>
      </w:tblPr>
      <w:tblGrid>
        <w:gridCol w:w="3115"/>
      </w:tblGrid>
      <w:tr w:rsidR="00BA1AF1" w:rsidRPr="00BA1AF1" w14:paraId="4BBCD7CF" w14:textId="77777777" w:rsidTr="00BA1AF1">
        <w:trPr>
          <w:cantSplit/>
          <w:trHeight w:val="485"/>
        </w:trPr>
        <w:tc>
          <w:tcPr>
            <w:tcW w:w="3115" w:type="dxa"/>
            <w:vAlign w:val="center"/>
          </w:tcPr>
          <w:p w14:paraId="541BDB67"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65A975A" w14:textId="77777777" w:rsidTr="00BA1AF1">
        <w:trPr>
          <w:cantSplit/>
          <w:trHeight w:val="563"/>
        </w:trPr>
        <w:tc>
          <w:tcPr>
            <w:tcW w:w="3115" w:type="dxa"/>
            <w:vAlign w:val="center"/>
          </w:tcPr>
          <w:p w14:paraId="26AFEE6D" w14:textId="4F273495" w:rsidR="00BA1AF1" w:rsidRPr="00BA1AF1" w:rsidRDefault="008A2B46" w:rsidP="00BA1AF1">
            <w:pPr>
              <w:jc w:val="center"/>
              <w:rPr>
                <w:rFonts w:ascii="Verdana" w:hAnsi="Verdana"/>
                <w:sz w:val="24"/>
                <w:szCs w:val="24"/>
              </w:rPr>
            </w:pPr>
            <w:r>
              <w:rPr>
                <w:rFonts w:ascii="Verdana" w:hAnsi="Verdana"/>
                <w:sz w:val="24"/>
                <w:szCs w:val="24"/>
              </w:rPr>
              <w:t>3.1</w:t>
            </w:r>
          </w:p>
        </w:tc>
      </w:tr>
    </w:tbl>
    <w:p w14:paraId="1C6D23AD"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67710AB" w14:textId="77777777" w:rsidTr="005E14D3">
        <w:trPr>
          <w:trHeight w:val="826"/>
        </w:trPr>
        <w:tc>
          <w:tcPr>
            <w:tcW w:w="9634" w:type="dxa"/>
            <w:vAlign w:val="center"/>
          </w:tcPr>
          <w:p w14:paraId="21FE5E5E" w14:textId="4F1A8BEB" w:rsidR="00851A26" w:rsidRPr="00E23B12" w:rsidRDefault="008508A8" w:rsidP="008A2B46">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10C745C4"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20EA520D" w14:textId="77777777" w:rsidTr="005E14D3">
        <w:trPr>
          <w:trHeight w:val="714"/>
        </w:trPr>
        <w:tc>
          <w:tcPr>
            <w:tcW w:w="9634" w:type="dxa"/>
            <w:vAlign w:val="center"/>
          </w:tcPr>
          <w:p w14:paraId="47CC3B48" w14:textId="78DFB1AB" w:rsidR="00081F19" w:rsidRPr="00851A26" w:rsidRDefault="00851A26" w:rsidP="00081F19">
            <w:pPr>
              <w:jc w:val="center"/>
              <w:rPr>
                <w:rFonts w:ascii="Verdana" w:hAnsi="Verdana" w:cs="Arial"/>
                <w:b/>
                <w:sz w:val="24"/>
                <w:szCs w:val="24"/>
              </w:rPr>
            </w:pPr>
            <w:r w:rsidRPr="00851A26">
              <w:rPr>
                <w:rFonts w:ascii="Verdana" w:hAnsi="Verdana" w:cs="Arial"/>
                <w:b/>
                <w:sz w:val="24"/>
                <w:szCs w:val="24"/>
              </w:rPr>
              <w:t xml:space="preserve">EASC </w:t>
            </w:r>
            <w:r w:rsidR="008A2B46">
              <w:rPr>
                <w:rFonts w:ascii="Verdana" w:hAnsi="Verdana" w:cs="Arial"/>
                <w:b/>
                <w:sz w:val="24"/>
                <w:szCs w:val="24"/>
              </w:rPr>
              <w:t>FINANCIAL P</w:t>
            </w:r>
            <w:r w:rsidRPr="00851A26">
              <w:rPr>
                <w:rFonts w:ascii="Verdana" w:hAnsi="Verdana" w:cs="Arial"/>
                <w:b/>
                <w:sz w:val="24"/>
                <w:szCs w:val="24"/>
              </w:rPr>
              <w:t>ERFORMANCE REPORT – MONTH 6</w:t>
            </w:r>
          </w:p>
          <w:p w14:paraId="010B1326" w14:textId="1DA83355" w:rsidR="001D08F5" w:rsidRPr="0069470A" w:rsidRDefault="00081F19" w:rsidP="00081F19">
            <w:pPr>
              <w:jc w:val="center"/>
              <w:rPr>
                <w:rFonts w:ascii="Verdana" w:hAnsi="Verdana" w:cs="Arial"/>
                <w:b/>
                <w:color w:val="000000" w:themeColor="text1"/>
                <w:sz w:val="24"/>
                <w:szCs w:val="24"/>
              </w:rPr>
            </w:pPr>
            <w:r w:rsidRPr="00851A26">
              <w:rPr>
                <w:rFonts w:ascii="Verdana" w:hAnsi="Verdana" w:cs="Arial"/>
                <w:b/>
                <w:sz w:val="24"/>
                <w:szCs w:val="24"/>
              </w:rPr>
              <w:t>2</w:t>
            </w:r>
            <w:r w:rsidR="00EC5D56" w:rsidRPr="00851A26">
              <w:rPr>
                <w:rFonts w:ascii="Verdana" w:hAnsi="Verdana" w:cs="Arial"/>
                <w:b/>
                <w:sz w:val="24"/>
                <w:szCs w:val="24"/>
              </w:rPr>
              <w:t>02</w:t>
            </w:r>
            <w:r w:rsidR="006A582D" w:rsidRPr="00851A26">
              <w:rPr>
                <w:rFonts w:ascii="Verdana" w:hAnsi="Verdana" w:cs="Arial"/>
                <w:b/>
                <w:sz w:val="24"/>
                <w:szCs w:val="24"/>
              </w:rPr>
              <w:t>1</w:t>
            </w:r>
            <w:r w:rsidR="00EC5D56" w:rsidRPr="00851A26">
              <w:rPr>
                <w:rFonts w:ascii="Verdana" w:hAnsi="Verdana" w:cs="Arial"/>
                <w:b/>
                <w:sz w:val="24"/>
                <w:szCs w:val="24"/>
              </w:rPr>
              <w:t>/2</w:t>
            </w:r>
            <w:r w:rsidR="006A582D" w:rsidRPr="00851A26">
              <w:rPr>
                <w:rFonts w:ascii="Verdana" w:hAnsi="Verdana" w:cs="Arial"/>
                <w:b/>
                <w:sz w:val="24"/>
                <w:szCs w:val="24"/>
              </w:rPr>
              <w:t>2</w:t>
            </w:r>
          </w:p>
        </w:tc>
      </w:tr>
    </w:tbl>
    <w:p w14:paraId="585A8DD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EE5632C" w14:textId="77777777" w:rsidTr="00344184">
        <w:trPr>
          <w:trHeight w:val="561"/>
        </w:trPr>
        <w:tc>
          <w:tcPr>
            <w:tcW w:w="4248" w:type="dxa"/>
            <w:shd w:val="clear" w:color="auto" w:fill="F2F2F2" w:themeFill="background1" w:themeFillShade="F2"/>
            <w:vAlign w:val="center"/>
          </w:tcPr>
          <w:p w14:paraId="25017E7D"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55E54BB" w14:textId="3F05DC92" w:rsidR="00577535" w:rsidRPr="00E23B12" w:rsidRDefault="008A2B46" w:rsidP="008A2B46">
            <w:pPr>
              <w:rPr>
                <w:rFonts w:ascii="Verdana" w:hAnsi="Verdana" w:cs="Arial"/>
                <w:color w:val="FF0000"/>
                <w:sz w:val="24"/>
                <w:szCs w:val="24"/>
              </w:rPr>
            </w:pPr>
            <w:r>
              <w:rPr>
                <w:rStyle w:val="Style8"/>
                <w:rFonts w:ascii="Verdana" w:hAnsi="Verdana"/>
                <w:color w:val="000000" w:themeColor="text1"/>
                <w:szCs w:val="24"/>
              </w:rPr>
              <w:t>09/11/</w:t>
            </w:r>
            <w:r w:rsidR="0069470A">
              <w:rPr>
                <w:rStyle w:val="Style8"/>
                <w:rFonts w:ascii="Verdana" w:hAnsi="Verdana"/>
                <w:color w:val="000000" w:themeColor="text1"/>
                <w:szCs w:val="24"/>
              </w:rPr>
              <w:t>202</w:t>
            </w:r>
            <w:r w:rsidR="004A3AE2">
              <w:rPr>
                <w:rStyle w:val="Style8"/>
                <w:rFonts w:ascii="Verdana" w:hAnsi="Verdana"/>
                <w:color w:val="000000" w:themeColor="text1"/>
                <w:szCs w:val="24"/>
              </w:rPr>
              <w:t>1</w:t>
            </w:r>
          </w:p>
        </w:tc>
      </w:tr>
    </w:tbl>
    <w:p w14:paraId="511A75A3"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B78B266" w14:textId="77777777" w:rsidTr="00344184">
        <w:trPr>
          <w:trHeight w:val="573"/>
        </w:trPr>
        <w:tc>
          <w:tcPr>
            <w:tcW w:w="4248" w:type="dxa"/>
            <w:shd w:val="clear" w:color="auto" w:fill="F2F2F2" w:themeFill="background1" w:themeFillShade="F2"/>
            <w:vAlign w:val="center"/>
          </w:tcPr>
          <w:p w14:paraId="7F1FC235"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06A5CD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060A40F"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EA4E3C9" w14:textId="77777777" w:rsidTr="00344184">
        <w:trPr>
          <w:trHeight w:val="571"/>
        </w:trPr>
        <w:tc>
          <w:tcPr>
            <w:tcW w:w="4248" w:type="dxa"/>
            <w:shd w:val="clear" w:color="auto" w:fill="F2F2F2" w:themeFill="background1" w:themeFillShade="F2"/>
            <w:vAlign w:val="center"/>
          </w:tcPr>
          <w:p w14:paraId="0682B0D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EC74B69"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36C34FB7"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2D3E3EA" w14:textId="77777777" w:rsidTr="00344184">
        <w:trPr>
          <w:trHeight w:val="555"/>
        </w:trPr>
        <w:tc>
          <w:tcPr>
            <w:tcW w:w="4248" w:type="dxa"/>
            <w:shd w:val="clear" w:color="auto" w:fill="F2F2F2" w:themeFill="background1" w:themeFillShade="F2"/>
            <w:vAlign w:val="center"/>
          </w:tcPr>
          <w:p w14:paraId="7DD5F41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4015984" w14:textId="77777777" w:rsidR="00747CDC" w:rsidRPr="00851A26" w:rsidRDefault="00372B54" w:rsidP="00577535">
            <w:pPr>
              <w:rPr>
                <w:rFonts w:ascii="Verdana" w:hAnsi="Verdana" w:cs="Arial"/>
                <w:caps/>
                <w:color w:val="FF0000"/>
                <w:sz w:val="24"/>
                <w:szCs w:val="24"/>
              </w:rPr>
            </w:pPr>
            <w:r w:rsidRPr="00851A26">
              <w:rPr>
                <w:rFonts w:ascii="Verdana" w:hAnsi="Verdana" w:cs="Arial"/>
                <w:bCs/>
                <w:sz w:val="24"/>
                <w:szCs w:val="24"/>
              </w:rPr>
              <w:t>Matthew Hall, Finance Manager – Contracting</w:t>
            </w:r>
          </w:p>
        </w:tc>
      </w:tr>
      <w:tr w:rsidR="003E2FB0" w:rsidRPr="00E23B12" w14:paraId="7B51B277" w14:textId="77777777" w:rsidTr="00344184">
        <w:trPr>
          <w:trHeight w:val="549"/>
        </w:trPr>
        <w:tc>
          <w:tcPr>
            <w:tcW w:w="4248" w:type="dxa"/>
            <w:shd w:val="clear" w:color="auto" w:fill="F2F2F2" w:themeFill="background1" w:themeFillShade="F2"/>
            <w:vAlign w:val="center"/>
          </w:tcPr>
          <w:p w14:paraId="65DB3C02"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2699F4D1" w14:textId="77777777" w:rsidR="005E14D3" w:rsidRPr="00851A26" w:rsidRDefault="00372B54" w:rsidP="005E14D3">
            <w:pPr>
              <w:rPr>
                <w:rFonts w:ascii="Verdana" w:hAnsi="Verdana"/>
                <w:color w:val="FF0000"/>
                <w:sz w:val="24"/>
                <w:szCs w:val="24"/>
              </w:rPr>
            </w:pPr>
            <w:r w:rsidRPr="00851A26">
              <w:rPr>
                <w:rFonts w:ascii="Verdana" w:hAnsi="Verdana" w:cs="Arial"/>
                <w:sz w:val="24"/>
                <w:szCs w:val="24"/>
              </w:rPr>
              <w:t>Stuart Davies, Director of Finance</w:t>
            </w:r>
          </w:p>
        </w:tc>
      </w:tr>
      <w:tr w:rsidR="002D02D2" w:rsidRPr="00E23B12" w14:paraId="0E17CB05" w14:textId="77777777" w:rsidTr="00344184">
        <w:trPr>
          <w:trHeight w:val="627"/>
        </w:trPr>
        <w:tc>
          <w:tcPr>
            <w:tcW w:w="4248" w:type="dxa"/>
            <w:shd w:val="clear" w:color="auto" w:fill="F2F2F2" w:themeFill="background1" w:themeFillShade="F2"/>
            <w:vAlign w:val="center"/>
          </w:tcPr>
          <w:p w14:paraId="08387672"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924A696" w14:textId="77777777" w:rsidR="003E2FB0" w:rsidRPr="00E23B12" w:rsidRDefault="00372B54"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1D4427A"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6D17ADD" w14:textId="77777777" w:rsidTr="00344184">
        <w:trPr>
          <w:trHeight w:val="669"/>
        </w:trPr>
        <w:tc>
          <w:tcPr>
            <w:tcW w:w="4248" w:type="dxa"/>
            <w:shd w:val="clear" w:color="auto" w:fill="F2F2F2" w:themeFill="background1" w:themeFillShade="F2"/>
            <w:vAlign w:val="center"/>
          </w:tcPr>
          <w:p w14:paraId="07071CFD"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36EFC125" w14:textId="639699D1" w:rsidR="00EA7C24" w:rsidRPr="00E23B12" w:rsidRDefault="0092071F"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4D6342A1" w14:textId="77777777" w:rsidR="003E43AD" w:rsidRPr="00E55D6E" w:rsidRDefault="003E43AD" w:rsidP="003E43AD">
      <w:pPr>
        <w:pStyle w:val="NoSpacing"/>
        <w:rPr>
          <w:rFonts w:ascii="Verdana" w:hAnsi="Verdana" w:cs="Arial"/>
          <w:sz w:val="12"/>
          <w:szCs w:val="24"/>
        </w:rPr>
      </w:pPr>
    </w:p>
    <w:p w14:paraId="74000C3A"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87"/>
        <w:gridCol w:w="3303"/>
      </w:tblGrid>
      <w:tr w:rsidR="003E43AD" w:rsidRPr="00E23B12" w14:paraId="39975A06" w14:textId="77777777" w:rsidTr="00E55D6E">
        <w:trPr>
          <w:trHeight w:val="467"/>
        </w:trPr>
        <w:tc>
          <w:tcPr>
            <w:tcW w:w="9634" w:type="dxa"/>
            <w:gridSpan w:val="3"/>
            <w:shd w:val="clear" w:color="auto" w:fill="F2F2F2" w:themeFill="background1" w:themeFillShade="F2"/>
            <w:vAlign w:val="center"/>
          </w:tcPr>
          <w:p w14:paraId="40E202EF"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B794CF6" w14:textId="77777777" w:rsidTr="00E55D6E">
        <w:trPr>
          <w:trHeight w:val="404"/>
        </w:trPr>
        <w:tc>
          <w:tcPr>
            <w:tcW w:w="3825" w:type="dxa"/>
            <w:shd w:val="clear" w:color="auto" w:fill="F2F2F2" w:themeFill="background1" w:themeFillShade="F2"/>
            <w:vAlign w:val="center"/>
          </w:tcPr>
          <w:p w14:paraId="7E6571CA"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4CB5BE1"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58908634"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3D294EF4" w14:textId="77777777" w:rsidTr="00E55D6E">
        <w:trPr>
          <w:trHeight w:val="423"/>
        </w:trPr>
        <w:tc>
          <w:tcPr>
            <w:tcW w:w="3825" w:type="dxa"/>
            <w:vAlign w:val="center"/>
          </w:tcPr>
          <w:p w14:paraId="378A4B90" w14:textId="7F78874F" w:rsidR="00463B6C" w:rsidRPr="00E23B12" w:rsidRDefault="0092071F"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621C4A">
                  <w:rPr>
                    <w:rFonts w:ascii="Verdana" w:hAnsi="Verdana" w:cs="Arial"/>
                    <w:sz w:val="24"/>
                    <w:szCs w:val="24"/>
                  </w:rPr>
                  <w:t>EASC Management Group</w:t>
                </w:r>
              </w:sdtContent>
            </w:sdt>
          </w:p>
        </w:tc>
        <w:tc>
          <w:tcPr>
            <w:tcW w:w="2017" w:type="dxa"/>
            <w:vAlign w:val="center"/>
          </w:tcPr>
          <w:p w14:paraId="4F81B71E" w14:textId="042D86D1" w:rsidR="00D227B8" w:rsidRPr="00E23B12" w:rsidRDefault="006802A0" w:rsidP="00621C4A">
            <w:pPr>
              <w:rPr>
                <w:rFonts w:ascii="Verdana" w:hAnsi="Verdana" w:cs="Arial"/>
                <w:sz w:val="24"/>
                <w:szCs w:val="24"/>
              </w:rPr>
            </w:pPr>
            <w:r w:rsidRPr="00E23B12">
              <w:rPr>
                <w:rStyle w:val="Style8"/>
                <w:rFonts w:ascii="Verdana" w:hAnsi="Verdana"/>
                <w:color w:val="000000" w:themeColor="text1"/>
                <w:szCs w:val="24"/>
              </w:rPr>
              <w:t>(</w:t>
            </w:r>
            <w:r w:rsidR="00621C4A">
              <w:rPr>
                <w:rStyle w:val="Style8"/>
                <w:rFonts w:ascii="Verdana" w:hAnsi="Verdana"/>
                <w:color w:val="000000" w:themeColor="text1"/>
                <w:szCs w:val="24"/>
              </w:rPr>
              <w:t>21</w:t>
            </w:r>
            <w:r w:rsidRPr="00E23B12">
              <w:rPr>
                <w:rStyle w:val="Style8"/>
                <w:rFonts w:ascii="Verdana" w:hAnsi="Verdana"/>
                <w:color w:val="000000" w:themeColor="text1"/>
                <w:szCs w:val="24"/>
              </w:rPr>
              <w:t>/</w:t>
            </w:r>
            <w:r w:rsidR="00621C4A">
              <w:rPr>
                <w:rStyle w:val="Style8"/>
                <w:rFonts w:ascii="Verdana" w:hAnsi="Verdana"/>
                <w:color w:val="000000" w:themeColor="text1"/>
                <w:szCs w:val="24"/>
              </w:rPr>
              <w:t>10</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w:t>
            </w:r>
            <w:r w:rsidR="003169A9">
              <w:rPr>
                <w:rStyle w:val="Style8"/>
                <w:rFonts w:ascii="Verdana" w:hAnsi="Verdana"/>
                <w:color w:val="000000" w:themeColor="text1"/>
                <w:szCs w:val="24"/>
              </w:rPr>
              <w:t>2</w:t>
            </w:r>
            <w:r w:rsidR="004A3AE2">
              <w:rPr>
                <w:rStyle w:val="Style8"/>
                <w:rFonts w:ascii="Verdana" w:hAnsi="Verdana"/>
                <w:color w:val="000000" w:themeColor="text1"/>
                <w:szCs w:val="24"/>
              </w:rPr>
              <w:t>1</w:t>
            </w: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3E5AD1A4" w14:textId="7D927363" w:rsidR="00652117" w:rsidRPr="00E23B12" w:rsidRDefault="00621C4A" w:rsidP="00577535">
                <w:pPr>
                  <w:rPr>
                    <w:rFonts w:ascii="Verdana" w:hAnsi="Verdana" w:cs="Arial"/>
                    <w:sz w:val="24"/>
                    <w:szCs w:val="24"/>
                  </w:rPr>
                </w:pPr>
                <w:r>
                  <w:rPr>
                    <w:rStyle w:val="Style22"/>
                    <w:rFonts w:ascii="Verdana" w:hAnsi="Verdana"/>
                    <w:sz w:val="24"/>
                    <w:szCs w:val="24"/>
                  </w:rPr>
                  <w:t>NOTED</w:t>
                </w:r>
              </w:p>
            </w:sdtContent>
          </w:sdt>
        </w:tc>
      </w:tr>
    </w:tbl>
    <w:p w14:paraId="74C6C054"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6834A8AA" w14:textId="77777777" w:rsidTr="00E55D6E">
        <w:trPr>
          <w:trHeight w:val="264"/>
        </w:trPr>
        <w:tc>
          <w:tcPr>
            <w:tcW w:w="9634" w:type="dxa"/>
            <w:gridSpan w:val="2"/>
            <w:shd w:val="clear" w:color="auto" w:fill="F2F2F2" w:themeFill="background1" w:themeFillShade="F2"/>
            <w:vAlign w:val="center"/>
          </w:tcPr>
          <w:p w14:paraId="07CD409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C83F50F" w14:textId="77777777" w:rsidTr="006802A0">
        <w:trPr>
          <w:trHeight w:val="549"/>
        </w:trPr>
        <w:tc>
          <w:tcPr>
            <w:tcW w:w="846" w:type="dxa"/>
            <w:shd w:val="clear" w:color="auto" w:fill="FFFFFF" w:themeFill="background1"/>
            <w:vAlign w:val="center"/>
          </w:tcPr>
          <w:p w14:paraId="47377599" w14:textId="77777777" w:rsidR="00577535" w:rsidRPr="00E23B12" w:rsidRDefault="0069470A" w:rsidP="00577535">
            <w:pPr>
              <w:rPr>
                <w:rFonts w:ascii="Verdana" w:hAnsi="Verdana" w:cs="Arial"/>
                <w:sz w:val="24"/>
                <w:szCs w:val="24"/>
              </w:rPr>
            </w:pPr>
            <w:r>
              <w:rPr>
                <w:rFonts w:ascii="Verdana" w:hAnsi="Verdana" w:cs="Arial"/>
                <w:sz w:val="24"/>
                <w:szCs w:val="24"/>
              </w:rPr>
              <w:t>EMS</w:t>
            </w:r>
          </w:p>
        </w:tc>
        <w:tc>
          <w:tcPr>
            <w:tcW w:w="8788" w:type="dxa"/>
            <w:vAlign w:val="center"/>
          </w:tcPr>
          <w:p w14:paraId="35A74161" w14:textId="77777777" w:rsidR="00577535" w:rsidRPr="00E23B12" w:rsidRDefault="0069470A" w:rsidP="00577535">
            <w:pPr>
              <w:rPr>
                <w:rFonts w:ascii="Verdana" w:hAnsi="Verdana" w:cs="Arial"/>
                <w:sz w:val="24"/>
                <w:szCs w:val="24"/>
              </w:rPr>
            </w:pPr>
            <w:r>
              <w:rPr>
                <w:rFonts w:ascii="Verdana" w:hAnsi="Verdana" w:cs="Arial"/>
                <w:sz w:val="24"/>
                <w:szCs w:val="24"/>
              </w:rPr>
              <w:t>Emergency Medical Services</w:t>
            </w:r>
          </w:p>
        </w:tc>
      </w:tr>
    </w:tbl>
    <w:p w14:paraId="1D5D43F3" w14:textId="77777777" w:rsidR="00E55D6E" w:rsidRDefault="00E55D6E" w:rsidP="00E55D6E">
      <w:pPr>
        <w:pStyle w:val="ListParagraph"/>
        <w:spacing w:after="0" w:line="240" w:lineRule="auto"/>
        <w:ind w:left="360"/>
        <w:rPr>
          <w:rFonts w:ascii="Verdana" w:hAnsi="Verdana" w:cs="Arial"/>
          <w:b/>
          <w:sz w:val="24"/>
          <w:szCs w:val="24"/>
        </w:rPr>
      </w:pPr>
    </w:p>
    <w:p w14:paraId="1E0492BA" w14:textId="77777777" w:rsidR="00E55D6E" w:rsidRDefault="00E55D6E" w:rsidP="00E55D6E">
      <w:pPr>
        <w:pStyle w:val="ListParagraph"/>
        <w:spacing w:after="0" w:line="240" w:lineRule="auto"/>
        <w:ind w:left="360"/>
        <w:rPr>
          <w:rFonts w:ascii="Verdana" w:hAnsi="Verdana" w:cs="Arial"/>
          <w:b/>
          <w:sz w:val="24"/>
          <w:szCs w:val="24"/>
        </w:rPr>
      </w:pPr>
    </w:p>
    <w:p w14:paraId="307DAE0E" w14:textId="77777777" w:rsidR="0069470A" w:rsidRDefault="0069470A" w:rsidP="00E55D6E">
      <w:pPr>
        <w:pStyle w:val="ListParagraph"/>
        <w:spacing w:after="0" w:line="240" w:lineRule="auto"/>
        <w:ind w:left="360"/>
        <w:rPr>
          <w:rFonts w:ascii="Verdana" w:hAnsi="Verdana" w:cs="Arial"/>
          <w:b/>
          <w:sz w:val="24"/>
          <w:szCs w:val="24"/>
        </w:rPr>
      </w:pPr>
    </w:p>
    <w:p w14:paraId="608B29AC" w14:textId="77777777" w:rsidR="0069470A" w:rsidRDefault="0069470A" w:rsidP="00E55D6E">
      <w:pPr>
        <w:pStyle w:val="ListParagraph"/>
        <w:spacing w:after="0" w:line="240" w:lineRule="auto"/>
        <w:ind w:left="360"/>
        <w:rPr>
          <w:rFonts w:ascii="Verdana" w:hAnsi="Verdana" w:cs="Arial"/>
          <w:b/>
          <w:sz w:val="24"/>
          <w:szCs w:val="24"/>
        </w:rPr>
      </w:pPr>
    </w:p>
    <w:p w14:paraId="55CA9C7A" w14:textId="77777777" w:rsidR="0069470A" w:rsidRDefault="0069470A" w:rsidP="00E55D6E">
      <w:pPr>
        <w:pStyle w:val="ListParagraph"/>
        <w:spacing w:after="0" w:line="240" w:lineRule="auto"/>
        <w:ind w:left="360"/>
        <w:rPr>
          <w:rFonts w:ascii="Verdana" w:hAnsi="Verdana" w:cs="Arial"/>
          <w:b/>
          <w:sz w:val="24"/>
          <w:szCs w:val="24"/>
        </w:rPr>
      </w:pPr>
    </w:p>
    <w:p w14:paraId="58E1CADC" w14:textId="77777777" w:rsidR="0069470A" w:rsidRDefault="0069470A" w:rsidP="00E55D6E">
      <w:pPr>
        <w:pStyle w:val="ListParagraph"/>
        <w:spacing w:after="0" w:line="240" w:lineRule="auto"/>
        <w:ind w:left="360"/>
        <w:rPr>
          <w:rFonts w:ascii="Verdana" w:hAnsi="Verdana" w:cs="Arial"/>
          <w:b/>
          <w:sz w:val="24"/>
          <w:szCs w:val="24"/>
        </w:rPr>
      </w:pPr>
    </w:p>
    <w:p w14:paraId="69305241"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w:t>
      </w:r>
    </w:p>
    <w:p w14:paraId="7DD07CDF" w14:textId="77777777" w:rsidR="006A7DA6" w:rsidRPr="0069470A" w:rsidRDefault="006A7DA6" w:rsidP="00344184">
      <w:pPr>
        <w:pStyle w:val="ListParagraph"/>
        <w:spacing w:after="0" w:line="240" w:lineRule="auto"/>
        <w:ind w:left="360"/>
        <w:rPr>
          <w:rFonts w:ascii="Verdana" w:hAnsi="Verdana" w:cs="Arial"/>
          <w:b/>
          <w:sz w:val="24"/>
          <w:szCs w:val="24"/>
        </w:rPr>
      </w:pPr>
    </w:p>
    <w:p w14:paraId="4253817B" w14:textId="4E092421" w:rsidR="001028EC" w:rsidRPr="001028EC" w:rsidRDefault="001028EC" w:rsidP="001028EC">
      <w:pPr>
        <w:pStyle w:val="ListParagraph"/>
        <w:numPr>
          <w:ilvl w:val="1"/>
          <w:numId w:val="1"/>
        </w:numPr>
        <w:spacing w:after="0" w:line="240" w:lineRule="auto"/>
        <w:jc w:val="both"/>
        <w:rPr>
          <w:rFonts w:ascii="Verdana" w:hAnsi="Verdana" w:cs="Arial"/>
          <w:sz w:val="24"/>
          <w:szCs w:val="24"/>
        </w:rPr>
      </w:pPr>
      <w:r w:rsidRPr="001028EC">
        <w:rPr>
          <w:rFonts w:ascii="Verdana" w:hAnsi="Verdana" w:cs="Arial"/>
          <w:sz w:val="24"/>
        </w:rPr>
        <w:t>The purpose of this report is to set out the estimated financ</w:t>
      </w:r>
      <w:r w:rsidR="00EC5D56">
        <w:rPr>
          <w:rFonts w:ascii="Verdana" w:hAnsi="Verdana" w:cs="Arial"/>
          <w:sz w:val="24"/>
        </w:rPr>
        <w:t xml:space="preserve">ial position for EASC for the </w:t>
      </w:r>
      <w:r w:rsidR="00A50A51">
        <w:rPr>
          <w:rFonts w:ascii="Verdana" w:hAnsi="Verdana" w:cs="Arial"/>
          <w:sz w:val="24"/>
        </w:rPr>
        <w:t>6</w:t>
      </w:r>
      <w:r w:rsidR="00EC0959">
        <w:rPr>
          <w:rFonts w:ascii="Verdana" w:hAnsi="Verdana" w:cs="Arial"/>
          <w:sz w:val="24"/>
        </w:rPr>
        <w:t>th</w:t>
      </w:r>
      <w:r w:rsidR="00EC5D56">
        <w:rPr>
          <w:rFonts w:ascii="Verdana" w:hAnsi="Verdana" w:cs="Arial"/>
          <w:sz w:val="24"/>
        </w:rPr>
        <w:t xml:space="preserve"> month of 202</w:t>
      </w:r>
      <w:r w:rsidR="00722A5A">
        <w:rPr>
          <w:rFonts w:ascii="Verdana" w:hAnsi="Verdana" w:cs="Arial"/>
          <w:sz w:val="24"/>
        </w:rPr>
        <w:t>1</w:t>
      </w:r>
      <w:r w:rsidR="00EC5D56">
        <w:rPr>
          <w:rFonts w:ascii="Verdana" w:hAnsi="Verdana" w:cs="Arial"/>
          <w:sz w:val="24"/>
        </w:rPr>
        <w:t>/2</w:t>
      </w:r>
      <w:r w:rsidR="00722A5A">
        <w:rPr>
          <w:rFonts w:ascii="Verdana" w:hAnsi="Verdana" w:cs="Arial"/>
          <w:sz w:val="24"/>
        </w:rPr>
        <w:t>2</w:t>
      </w:r>
      <w:r w:rsidRPr="001028EC">
        <w:rPr>
          <w:rFonts w:ascii="Verdana" w:hAnsi="Verdana" w:cs="Arial"/>
          <w:sz w:val="24"/>
        </w:rPr>
        <w:t xml:space="preserve"> together with any corrective action required. </w:t>
      </w:r>
      <w:r w:rsidR="001D6AD7">
        <w:rPr>
          <w:rFonts w:ascii="Verdana" w:hAnsi="Verdana" w:cs="Arial"/>
          <w:sz w:val="24"/>
        </w:rPr>
        <w:t>It should be noted that the below summary agrees to the Risk Share tables in totality but is slightly different in detail per service line. This is because the EASC Ring Fenced Allocations have been assigned to their relevant service line, the detail of which will be expanded upon in the individual service sections that follow.</w:t>
      </w:r>
    </w:p>
    <w:p w14:paraId="189B18F0" w14:textId="4FBBEB4A" w:rsidR="001028EC" w:rsidRDefault="00A50A51" w:rsidP="001028EC">
      <w:pPr>
        <w:spacing w:after="0" w:line="240" w:lineRule="auto"/>
        <w:jc w:val="both"/>
        <w:rPr>
          <w:rFonts w:ascii="Verdana" w:hAnsi="Verdana" w:cs="Arial"/>
          <w:sz w:val="24"/>
        </w:rPr>
      </w:pPr>
      <w:r w:rsidRPr="00A50A51">
        <w:rPr>
          <w:noProof/>
          <w:lang w:val="en-GB" w:eastAsia="en-GB"/>
        </w:rPr>
        <w:drawing>
          <wp:inline distT="0" distB="0" distL="0" distR="0" wp14:anchorId="1A27D373" wp14:editId="508D04A0">
            <wp:extent cx="5943600" cy="2068885"/>
            <wp:effectExtent l="0" t="0" r="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2068885"/>
                    </a:xfrm>
                    <a:prstGeom prst="rect">
                      <a:avLst/>
                    </a:prstGeom>
                    <a:noFill/>
                    <a:ln>
                      <a:noFill/>
                    </a:ln>
                  </pic:spPr>
                </pic:pic>
              </a:graphicData>
            </a:graphic>
          </wp:inline>
        </w:drawing>
      </w:r>
    </w:p>
    <w:p w14:paraId="11186D15" w14:textId="77777777" w:rsidR="0069470A" w:rsidRPr="001028EC" w:rsidRDefault="0069470A" w:rsidP="001028EC">
      <w:pPr>
        <w:spacing w:after="0" w:line="240" w:lineRule="auto"/>
        <w:jc w:val="both"/>
        <w:rPr>
          <w:rFonts w:ascii="Verdana" w:hAnsi="Verdana" w:cs="Arial"/>
          <w:sz w:val="24"/>
          <w:szCs w:val="24"/>
        </w:rPr>
      </w:pPr>
      <w:r w:rsidRPr="001028EC">
        <w:rPr>
          <w:rFonts w:ascii="Verdana" w:hAnsi="Verdana" w:cs="Arial"/>
          <w:sz w:val="24"/>
        </w:rPr>
        <w:t xml:space="preserve"> </w:t>
      </w:r>
    </w:p>
    <w:p w14:paraId="711D7373" w14:textId="77777777"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11E30528" w14:textId="77777777" w:rsidR="00F01092" w:rsidRPr="0069470A" w:rsidRDefault="00F01092" w:rsidP="0069470A">
      <w:pPr>
        <w:spacing w:after="0" w:line="240" w:lineRule="auto"/>
        <w:rPr>
          <w:rFonts w:ascii="Verdana" w:hAnsi="Verdana" w:cs="Arial"/>
          <w:b/>
          <w:sz w:val="24"/>
          <w:szCs w:val="24"/>
        </w:rPr>
      </w:pPr>
    </w:p>
    <w:p w14:paraId="4D49851B" w14:textId="42F522F4" w:rsidR="001028EC"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financial posit</w:t>
      </w:r>
      <w:r w:rsidR="00EC5D56">
        <w:rPr>
          <w:rFonts w:ascii="Verdana" w:hAnsi="Verdana" w:cs="Arial"/>
          <w:sz w:val="24"/>
          <w:szCs w:val="24"/>
          <w:lang w:eastAsia="en-GB"/>
        </w:rPr>
        <w:t>ion is reported against the 202</w:t>
      </w:r>
      <w:r w:rsidR="00722A5A">
        <w:rPr>
          <w:rFonts w:ascii="Verdana" w:hAnsi="Verdana" w:cs="Arial"/>
          <w:sz w:val="24"/>
          <w:szCs w:val="24"/>
          <w:lang w:eastAsia="en-GB"/>
        </w:rPr>
        <w:t>1</w:t>
      </w:r>
      <w:r w:rsidR="00EC5D56">
        <w:rPr>
          <w:rFonts w:ascii="Verdana" w:hAnsi="Verdana" w:cs="Arial"/>
          <w:sz w:val="24"/>
          <w:szCs w:val="24"/>
          <w:lang w:eastAsia="en-GB"/>
        </w:rPr>
        <w:t>/2</w:t>
      </w:r>
      <w:r w:rsidR="00722A5A">
        <w:rPr>
          <w:rFonts w:ascii="Verdana" w:hAnsi="Verdana" w:cs="Arial"/>
          <w:sz w:val="24"/>
          <w:szCs w:val="24"/>
          <w:lang w:eastAsia="en-GB"/>
        </w:rPr>
        <w:t>2</w:t>
      </w:r>
      <w:r w:rsidRPr="001028EC">
        <w:rPr>
          <w:rFonts w:ascii="Verdana" w:hAnsi="Verdana" w:cs="Arial"/>
          <w:sz w:val="24"/>
          <w:szCs w:val="24"/>
          <w:lang w:eastAsia="en-GB"/>
        </w:rPr>
        <w:t xml:space="preserve"> baseline</w:t>
      </w:r>
      <w:r w:rsidR="00EC5D56">
        <w:rPr>
          <w:rFonts w:ascii="Verdana" w:hAnsi="Verdana" w:cs="Arial"/>
          <w:sz w:val="24"/>
          <w:szCs w:val="24"/>
          <w:lang w:eastAsia="en-GB"/>
        </w:rPr>
        <w:t>s following approval of the 202</w:t>
      </w:r>
      <w:r w:rsidR="00722A5A">
        <w:rPr>
          <w:rFonts w:ascii="Verdana" w:hAnsi="Verdana" w:cs="Arial"/>
          <w:sz w:val="24"/>
          <w:szCs w:val="24"/>
          <w:lang w:eastAsia="en-GB"/>
        </w:rPr>
        <w:t>1</w:t>
      </w:r>
      <w:r w:rsidR="00EC5D56">
        <w:rPr>
          <w:rFonts w:ascii="Verdana" w:hAnsi="Verdana" w:cs="Arial"/>
          <w:sz w:val="24"/>
          <w:szCs w:val="24"/>
          <w:lang w:eastAsia="en-GB"/>
        </w:rPr>
        <w:t>/2</w:t>
      </w:r>
      <w:r w:rsidR="00722A5A">
        <w:rPr>
          <w:rFonts w:ascii="Verdana" w:hAnsi="Verdana" w:cs="Arial"/>
          <w:sz w:val="24"/>
          <w:szCs w:val="24"/>
          <w:lang w:eastAsia="en-GB"/>
        </w:rPr>
        <w:t>2</w:t>
      </w:r>
      <w:r w:rsidRPr="001028EC">
        <w:rPr>
          <w:rFonts w:ascii="Verdana" w:hAnsi="Verdana" w:cs="Arial"/>
          <w:sz w:val="24"/>
          <w:szCs w:val="24"/>
          <w:lang w:eastAsia="en-GB"/>
        </w:rPr>
        <w:t xml:space="preserve"> IMTP by the EASC</w:t>
      </w:r>
      <w:r w:rsidR="00EC5D56">
        <w:rPr>
          <w:rFonts w:ascii="Verdana" w:hAnsi="Verdana" w:cs="Arial"/>
          <w:sz w:val="24"/>
          <w:szCs w:val="24"/>
          <w:lang w:eastAsia="en-GB"/>
        </w:rPr>
        <w:t xml:space="preserve"> Joint Committee in January 202</w:t>
      </w:r>
      <w:r w:rsidR="00722A5A">
        <w:rPr>
          <w:rFonts w:ascii="Verdana" w:hAnsi="Verdana" w:cs="Arial"/>
          <w:sz w:val="24"/>
          <w:szCs w:val="24"/>
          <w:lang w:eastAsia="en-GB"/>
        </w:rPr>
        <w:t>1</w:t>
      </w:r>
      <w:r w:rsidRPr="001028EC">
        <w:rPr>
          <w:rFonts w:ascii="Verdana" w:hAnsi="Verdana" w:cs="Arial"/>
          <w:sz w:val="24"/>
          <w:szCs w:val="24"/>
          <w:lang w:eastAsia="en-GB"/>
        </w:rPr>
        <w:t xml:space="preserve">. There are no corrective actions to report at this point. </w:t>
      </w:r>
      <w:r w:rsidR="00A50A51">
        <w:rPr>
          <w:rFonts w:ascii="Verdana" w:hAnsi="Verdana" w:cs="Arial"/>
          <w:sz w:val="24"/>
          <w:szCs w:val="24"/>
          <w:lang w:eastAsia="en-GB"/>
        </w:rPr>
        <w:t>At month 6, an additional £1.353m was added to the EASC baseline. The detail of this will be expanded in the relevant sections that follow.</w:t>
      </w:r>
    </w:p>
    <w:p w14:paraId="188431C8" w14:textId="77777777" w:rsidR="001028EC" w:rsidRPr="001028EC" w:rsidRDefault="001028EC" w:rsidP="001028EC">
      <w:pPr>
        <w:pStyle w:val="ListParagraph"/>
        <w:spacing w:after="0" w:line="240" w:lineRule="auto"/>
        <w:jc w:val="both"/>
        <w:rPr>
          <w:rFonts w:ascii="Verdana" w:hAnsi="Verdana" w:cs="Arial"/>
          <w:sz w:val="24"/>
          <w:szCs w:val="24"/>
          <w:lang w:eastAsia="en-GB"/>
        </w:rPr>
      </w:pPr>
    </w:p>
    <w:p w14:paraId="17E59FAA" w14:textId="77777777" w:rsidR="0069470A"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Please note that as LHB’s cover any EASC variances, any over/under spends are adjusted back out to LHB’s. Therefore, although this document reports on the effective position to date, this value is actually reported through the LHB monthly positions, and the EASC position as reported to WG is a nil variance.</w:t>
      </w:r>
    </w:p>
    <w:p w14:paraId="15D51DA9" w14:textId="77777777" w:rsidR="000F26AC" w:rsidRPr="00851A26" w:rsidRDefault="000F26AC" w:rsidP="00851A26">
      <w:pPr>
        <w:pStyle w:val="ListParagraph"/>
        <w:rPr>
          <w:rFonts w:ascii="Verdana" w:hAnsi="Verdana" w:cs="Arial"/>
          <w:sz w:val="24"/>
          <w:szCs w:val="24"/>
          <w:lang w:eastAsia="en-GB"/>
        </w:rPr>
      </w:pPr>
    </w:p>
    <w:p w14:paraId="703E8132" w14:textId="77777777" w:rsidR="000F26AC" w:rsidRDefault="000F26AC">
      <w:pPr>
        <w:pStyle w:val="ListParagraph"/>
        <w:numPr>
          <w:ilvl w:val="1"/>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In relation to the financial position, and following discussion, Members agreed: </w:t>
      </w:r>
    </w:p>
    <w:p w14:paraId="20EF5402" w14:textId="77777777" w:rsidR="00851A26" w:rsidRDefault="000F26AC" w:rsidP="00851A26">
      <w:pPr>
        <w:pStyle w:val="ListParagraph"/>
        <w:numPr>
          <w:ilvl w:val="2"/>
          <w:numId w:val="1"/>
        </w:numPr>
        <w:spacing w:after="0" w:line="240" w:lineRule="auto"/>
        <w:ind w:left="1418" w:hanging="709"/>
        <w:jc w:val="both"/>
        <w:rPr>
          <w:rFonts w:ascii="Verdana" w:hAnsi="Verdana" w:cs="Arial"/>
          <w:sz w:val="24"/>
          <w:szCs w:val="24"/>
          <w:lang w:eastAsia="en-GB"/>
        </w:rPr>
      </w:pPr>
      <w:r w:rsidRPr="000F26AC">
        <w:rPr>
          <w:rFonts w:ascii="Verdana" w:hAnsi="Verdana" w:cs="Arial"/>
          <w:sz w:val="24"/>
          <w:szCs w:val="24"/>
          <w:lang w:eastAsia="en-GB"/>
        </w:rPr>
        <w:t>WAST IMTP figures for 202</w:t>
      </w:r>
      <w:r w:rsidR="00722A5A">
        <w:rPr>
          <w:rFonts w:ascii="Verdana" w:hAnsi="Verdana" w:cs="Arial"/>
          <w:sz w:val="24"/>
          <w:szCs w:val="24"/>
          <w:lang w:eastAsia="en-GB"/>
        </w:rPr>
        <w:t>1</w:t>
      </w:r>
      <w:r w:rsidRPr="000F26AC">
        <w:rPr>
          <w:rFonts w:ascii="Verdana" w:hAnsi="Verdana" w:cs="Arial"/>
          <w:sz w:val="24"/>
          <w:szCs w:val="24"/>
          <w:lang w:eastAsia="en-GB"/>
        </w:rPr>
        <w:t>/2</w:t>
      </w:r>
      <w:r w:rsidR="00722A5A">
        <w:rPr>
          <w:rFonts w:ascii="Verdana" w:hAnsi="Verdana" w:cs="Arial"/>
          <w:sz w:val="24"/>
          <w:szCs w:val="24"/>
          <w:lang w:eastAsia="en-GB"/>
        </w:rPr>
        <w:t>2</w:t>
      </w:r>
      <w:r w:rsidRPr="000F26AC">
        <w:rPr>
          <w:rFonts w:ascii="Verdana" w:hAnsi="Verdana" w:cs="Arial"/>
          <w:sz w:val="24"/>
          <w:szCs w:val="24"/>
          <w:lang w:eastAsia="en-GB"/>
        </w:rPr>
        <w:t xml:space="preserve"> would be consistent with the details set out in the Welsh Government allocation letter.</w:t>
      </w:r>
      <w:r>
        <w:rPr>
          <w:rFonts w:ascii="Verdana" w:hAnsi="Verdana" w:cs="Arial"/>
          <w:sz w:val="24"/>
          <w:szCs w:val="24"/>
          <w:lang w:eastAsia="en-GB"/>
        </w:rPr>
        <w:t xml:space="preserve"> </w:t>
      </w:r>
    </w:p>
    <w:p w14:paraId="4D263C79" w14:textId="77777777" w:rsidR="00851A26" w:rsidRDefault="00CA5DD0" w:rsidP="00851A26">
      <w:pPr>
        <w:pStyle w:val="ListParagraph"/>
        <w:numPr>
          <w:ilvl w:val="2"/>
          <w:numId w:val="1"/>
        </w:numPr>
        <w:spacing w:after="0" w:line="240" w:lineRule="auto"/>
        <w:ind w:left="1418" w:hanging="709"/>
        <w:jc w:val="both"/>
        <w:rPr>
          <w:rFonts w:ascii="Verdana" w:hAnsi="Verdana" w:cs="Arial"/>
          <w:sz w:val="24"/>
          <w:szCs w:val="24"/>
          <w:lang w:eastAsia="en-GB"/>
        </w:rPr>
      </w:pPr>
      <w:r w:rsidRPr="00851A26">
        <w:rPr>
          <w:rFonts w:ascii="Verdana" w:hAnsi="Verdana" w:cs="Arial"/>
          <w:sz w:val="24"/>
          <w:szCs w:val="24"/>
          <w:lang w:eastAsia="en-GB"/>
        </w:rPr>
        <w:t xml:space="preserve">Health Boards agreed in principle to fund up to a maximum of £2m in additional revenue on a non-recurrent basis for 2021/22. This was the amount that Members would expect to be reflected in the WAST IMTP for Demand &amp; Capacity phase 2 front line funding and presented as such. </w:t>
      </w:r>
    </w:p>
    <w:p w14:paraId="55D5BDAC" w14:textId="386D1E0A" w:rsidR="00851A26" w:rsidRDefault="00CA5DD0" w:rsidP="00851A26">
      <w:pPr>
        <w:pStyle w:val="ListParagraph"/>
        <w:spacing w:after="0" w:line="240" w:lineRule="auto"/>
        <w:ind w:left="1418"/>
        <w:jc w:val="both"/>
        <w:rPr>
          <w:rFonts w:ascii="Verdana" w:hAnsi="Verdana" w:cs="Arial"/>
          <w:sz w:val="24"/>
          <w:szCs w:val="24"/>
          <w:lang w:eastAsia="en-GB"/>
        </w:rPr>
      </w:pPr>
      <w:r w:rsidRPr="00851A26">
        <w:rPr>
          <w:rFonts w:ascii="Verdana" w:hAnsi="Verdana" w:cs="Arial"/>
          <w:sz w:val="24"/>
          <w:szCs w:val="24"/>
          <w:lang w:eastAsia="en-GB"/>
        </w:rPr>
        <w:lastRenderedPageBreak/>
        <w:t xml:space="preserve">The draw down from this funding would be made conditional on the delivery of resources in line with the delivery plan and would be provided to WAST when the expenditure had been incurred. </w:t>
      </w:r>
    </w:p>
    <w:p w14:paraId="38767514" w14:textId="2FF1444B" w:rsidR="00CA5DD0" w:rsidRPr="00851A26" w:rsidRDefault="00CA5DD0" w:rsidP="00851A26">
      <w:pPr>
        <w:pStyle w:val="ListParagraph"/>
        <w:numPr>
          <w:ilvl w:val="2"/>
          <w:numId w:val="1"/>
        </w:numPr>
        <w:spacing w:after="0" w:line="240" w:lineRule="auto"/>
        <w:ind w:left="1418" w:hanging="709"/>
        <w:jc w:val="both"/>
        <w:rPr>
          <w:rFonts w:ascii="Verdana" w:hAnsi="Verdana" w:cs="Arial"/>
          <w:sz w:val="24"/>
          <w:szCs w:val="24"/>
          <w:lang w:eastAsia="en-GB"/>
        </w:rPr>
      </w:pPr>
      <w:r w:rsidRPr="00851A26">
        <w:rPr>
          <w:rFonts w:ascii="Verdana" w:hAnsi="Verdana" w:cs="Arial"/>
          <w:sz w:val="24"/>
          <w:szCs w:val="24"/>
          <w:lang w:eastAsia="en-GB"/>
        </w:rPr>
        <w:t>Health Boards agree</w:t>
      </w:r>
      <w:r w:rsidR="0056600B" w:rsidRPr="00851A26">
        <w:rPr>
          <w:rFonts w:ascii="Verdana" w:hAnsi="Verdana" w:cs="Arial"/>
          <w:sz w:val="24"/>
          <w:szCs w:val="24"/>
          <w:lang w:eastAsia="en-GB"/>
        </w:rPr>
        <w:t>d to fund up to a maximum of £1,257k</w:t>
      </w:r>
      <w:r w:rsidRPr="00851A26">
        <w:rPr>
          <w:rFonts w:ascii="Verdana" w:hAnsi="Verdana" w:cs="Arial"/>
          <w:sz w:val="24"/>
          <w:szCs w:val="24"/>
          <w:lang w:eastAsia="en-GB"/>
        </w:rPr>
        <w:t xml:space="preserve"> in additional revenue on a non-recurrent basis to support the continuation of the EMRTS Service Expansion to a 24/7 service. The draw down from this funding would be made conditional on the delivery of resources in line with the delivery plan and would be provided to EMRTS when the expenditure had been incurred.</w:t>
      </w:r>
    </w:p>
    <w:p w14:paraId="5F2B073C" w14:textId="2C223C39" w:rsidR="006A7DA6" w:rsidRPr="00E23B12" w:rsidRDefault="000F26AC" w:rsidP="00851A26">
      <w:pPr>
        <w:pStyle w:val="ListParagraph"/>
        <w:spacing w:after="0" w:line="240" w:lineRule="auto"/>
        <w:jc w:val="both"/>
        <w:rPr>
          <w:rFonts w:ascii="Verdana" w:hAnsi="Verdana" w:cs="Arial"/>
          <w:sz w:val="24"/>
          <w:szCs w:val="24"/>
        </w:rPr>
      </w:pPr>
      <w:r w:rsidRPr="000F26AC">
        <w:rPr>
          <w:rFonts w:ascii="Verdana" w:hAnsi="Verdana" w:cs="Arial"/>
          <w:sz w:val="24"/>
          <w:szCs w:val="24"/>
          <w:lang w:eastAsia="en-GB"/>
        </w:rPr>
        <w:t xml:space="preserve"> </w:t>
      </w:r>
    </w:p>
    <w:p w14:paraId="10C177C5"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91C746A"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03AAFB06"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Governance &amp; Contracting</w:t>
      </w:r>
    </w:p>
    <w:p w14:paraId="1343AD87" w14:textId="37A0BAA3" w:rsidR="006C4A3E" w:rsidRPr="00722A5A" w:rsidRDefault="006C4A3E" w:rsidP="00851A26">
      <w:pPr>
        <w:pStyle w:val="ListParagraph"/>
        <w:numPr>
          <w:ilvl w:val="1"/>
          <w:numId w:val="1"/>
        </w:numPr>
        <w:spacing w:after="0" w:line="240" w:lineRule="auto"/>
        <w:jc w:val="both"/>
        <w:rPr>
          <w:rFonts w:ascii="Verdana" w:hAnsi="Verdana" w:cs="Arial"/>
          <w:sz w:val="28"/>
          <w:szCs w:val="24"/>
        </w:rPr>
      </w:pPr>
      <w:r w:rsidRPr="00722A5A">
        <w:rPr>
          <w:rFonts w:ascii="Verdana" w:hAnsi="Verdana" w:cs="Arial"/>
          <w:sz w:val="24"/>
          <w:szCs w:val="24"/>
        </w:rPr>
        <w:t xml:space="preserve">All budgets have </w:t>
      </w:r>
      <w:r w:rsidR="00EC5D56" w:rsidRPr="00722A5A">
        <w:rPr>
          <w:rFonts w:ascii="Verdana" w:hAnsi="Verdana" w:cs="Arial"/>
          <w:sz w:val="24"/>
          <w:szCs w:val="24"/>
        </w:rPr>
        <w:t>been updated to reflect the 202</w:t>
      </w:r>
      <w:r w:rsidR="00722A5A" w:rsidRPr="00722A5A">
        <w:rPr>
          <w:rFonts w:ascii="Verdana" w:hAnsi="Verdana" w:cs="Arial"/>
          <w:sz w:val="24"/>
          <w:szCs w:val="24"/>
        </w:rPr>
        <w:t>1</w:t>
      </w:r>
      <w:r w:rsidR="00EC5D56" w:rsidRPr="00722A5A">
        <w:rPr>
          <w:rFonts w:ascii="Verdana" w:hAnsi="Verdana" w:cs="Arial"/>
          <w:sz w:val="24"/>
          <w:szCs w:val="24"/>
        </w:rPr>
        <w:t>/2</w:t>
      </w:r>
      <w:r w:rsidR="00722A5A" w:rsidRPr="00722A5A">
        <w:rPr>
          <w:rFonts w:ascii="Verdana" w:hAnsi="Verdana" w:cs="Arial"/>
          <w:sz w:val="24"/>
          <w:szCs w:val="24"/>
        </w:rPr>
        <w:t>2</w:t>
      </w:r>
      <w:r w:rsidRPr="00722A5A">
        <w:rPr>
          <w:rFonts w:ascii="Verdana" w:hAnsi="Verdana" w:cs="Arial"/>
          <w:sz w:val="24"/>
          <w:szCs w:val="24"/>
        </w:rPr>
        <w:t xml:space="preserve"> approved IMTP. The IMTP se</w:t>
      </w:r>
      <w:r w:rsidR="00EC5D56" w:rsidRPr="00722A5A">
        <w:rPr>
          <w:rFonts w:ascii="Verdana" w:hAnsi="Verdana" w:cs="Arial"/>
          <w:sz w:val="24"/>
          <w:szCs w:val="24"/>
        </w:rPr>
        <w:t>ts the baseline for all the 202</w:t>
      </w:r>
      <w:r w:rsidR="00722A5A" w:rsidRPr="00722A5A">
        <w:rPr>
          <w:rFonts w:ascii="Verdana" w:hAnsi="Verdana" w:cs="Arial"/>
          <w:sz w:val="24"/>
          <w:szCs w:val="24"/>
        </w:rPr>
        <w:t>1</w:t>
      </w:r>
      <w:r w:rsidR="00EC5D56" w:rsidRPr="00722A5A">
        <w:rPr>
          <w:rFonts w:ascii="Verdana" w:hAnsi="Verdana" w:cs="Arial"/>
          <w:sz w:val="24"/>
          <w:szCs w:val="24"/>
        </w:rPr>
        <w:t>/2</w:t>
      </w:r>
      <w:r w:rsidR="00722A5A" w:rsidRPr="00722A5A">
        <w:rPr>
          <w:rFonts w:ascii="Verdana" w:hAnsi="Verdana" w:cs="Arial"/>
          <w:sz w:val="24"/>
          <w:szCs w:val="24"/>
        </w:rPr>
        <w:t>2</w:t>
      </w:r>
      <w:r w:rsidRPr="00722A5A">
        <w:rPr>
          <w:rFonts w:ascii="Verdana" w:hAnsi="Verdana" w:cs="Arial"/>
          <w:sz w:val="24"/>
          <w:szCs w:val="24"/>
        </w:rPr>
        <w:t xml:space="preserve"> contract values. </w:t>
      </w:r>
    </w:p>
    <w:p w14:paraId="47A92708" w14:textId="77777777" w:rsidR="00722A5A" w:rsidRDefault="00722A5A" w:rsidP="006C4A3E">
      <w:pPr>
        <w:pStyle w:val="ListParagraph"/>
        <w:spacing w:after="0" w:line="240" w:lineRule="auto"/>
        <w:jc w:val="both"/>
        <w:rPr>
          <w:rFonts w:ascii="Verdana" w:hAnsi="Verdana" w:cs="Arial"/>
          <w:sz w:val="24"/>
          <w:szCs w:val="24"/>
          <w:u w:val="single"/>
        </w:rPr>
      </w:pPr>
    </w:p>
    <w:p w14:paraId="2664C5B9"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EMS Contract</w:t>
      </w:r>
    </w:p>
    <w:p w14:paraId="00E377EE" w14:textId="77777777" w:rsidR="006C4A3E" w:rsidRPr="006C4A3E" w:rsidRDefault="006C4A3E" w:rsidP="00675E1B">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current reported financial position of WAST is a break even at year end.</w:t>
      </w:r>
    </w:p>
    <w:p w14:paraId="317C8456" w14:textId="77777777" w:rsidR="006C4A3E" w:rsidRPr="006C4A3E" w:rsidRDefault="006C4A3E" w:rsidP="006C4A3E">
      <w:pPr>
        <w:pStyle w:val="ListParagraph"/>
        <w:spacing w:after="0" w:line="240" w:lineRule="auto"/>
        <w:jc w:val="both"/>
        <w:rPr>
          <w:rFonts w:ascii="Verdana" w:hAnsi="Verdana" w:cs="Arial"/>
          <w:sz w:val="24"/>
          <w:szCs w:val="24"/>
        </w:rPr>
      </w:pPr>
    </w:p>
    <w:p w14:paraId="10ED9B6D" w14:textId="3ABD6B89" w:rsidR="006C4A3E" w:rsidRDefault="006C4A3E" w:rsidP="00851A26">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WAST budget</w:t>
      </w:r>
      <w:r w:rsidR="00980091">
        <w:rPr>
          <w:rFonts w:ascii="Verdana" w:hAnsi="Verdana" w:cs="Arial"/>
          <w:sz w:val="24"/>
          <w:szCs w:val="24"/>
        </w:rPr>
        <w:t xml:space="preserve"> of £182,64</w:t>
      </w:r>
      <w:r w:rsidR="009F698B">
        <w:rPr>
          <w:rFonts w:ascii="Verdana" w:hAnsi="Verdana" w:cs="Arial"/>
          <w:sz w:val="24"/>
          <w:szCs w:val="24"/>
        </w:rPr>
        <w:t>6</w:t>
      </w:r>
      <w:r w:rsidR="00CA5DD0">
        <w:rPr>
          <w:rFonts w:ascii="Verdana" w:hAnsi="Verdana" w:cs="Arial"/>
          <w:sz w:val="24"/>
          <w:szCs w:val="24"/>
        </w:rPr>
        <w:t>k</w:t>
      </w:r>
      <w:r w:rsidRPr="006C4A3E">
        <w:rPr>
          <w:rFonts w:ascii="Verdana" w:hAnsi="Verdana" w:cs="Arial"/>
          <w:sz w:val="24"/>
          <w:szCs w:val="24"/>
        </w:rPr>
        <w:t xml:space="preserve"> is currently reported as the total of the following service lines:</w:t>
      </w:r>
    </w:p>
    <w:p w14:paraId="50F16D45" w14:textId="366CC4D7" w:rsidR="00CA5DD0" w:rsidRDefault="00A50A51" w:rsidP="00851A26">
      <w:pPr>
        <w:pStyle w:val="ListParagraph"/>
        <w:numPr>
          <w:ilvl w:val="0"/>
          <w:numId w:val="21"/>
        </w:numPr>
        <w:spacing w:after="0" w:line="240" w:lineRule="auto"/>
        <w:rPr>
          <w:rFonts w:ascii="Verdana" w:hAnsi="Verdana" w:cs="Arial"/>
          <w:sz w:val="24"/>
          <w:szCs w:val="24"/>
        </w:rPr>
      </w:pPr>
      <w:r>
        <w:rPr>
          <w:rFonts w:ascii="Verdana" w:hAnsi="Verdana" w:cs="Arial"/>
          <w:sz w:val="24"/>
          <w:szCs w:val="24"/>
        </w:rPr>
        <w:t>WAST £179,1</w:t>
      </w:r>
      <w:r w:rsidR="00CA5DD0">
        <w:rPr>
          <w:rFonts w:ascii="Verdana" w:hAnsi="Verdana" w:cs="Arial"/>
          <w:sz w:val="24"/>
          <w:szCs w:val="24"/>
        </w:rPr>
        <w:t>16k</w:t>
      </w:r>
      <w:r>
        <w:rPr>
          <w:rFonts w:ascii="Verdana" w:hAnsi="Verdana" w:cs="Arial"/>
          <w:sz w:val="24"/>
          <w:szCs w:val="24"/>
        </w:rPr>
        <w:t xml:space="preserve">, at month 6 £300k was added to the baseline for </w:t>
      </w:r>
      <w:r w:rsidRPr="00A50A51">
        <w:rPr>
          <w:rFonts w:ascii="Verdana" w:hAnsi="Verdana" w:cs="Arial"/>
          <w:sz w:val="24"/>
          <w:szCs w:val="24"/>
        </w:rPr>
        <w:t>Mental Health Care for 999 calls - WG allocation</w:t>
      </w:r>
    </w:p>
    <w:p w14:paraId="42C29823" w14:textId="2F67C8D1" w:rsidR="00CA5DD0" w:rsidRDefault="00CA5DD0" w:rsidP="00851A26">
      <w:pPr>
        <w:pStyle w:val="ListParagraph"/>
        <w:numPr>
          <w:ilvl w:val="0"/>
          <w:numId w:val="21"/>
        </w:numPr>
        <w:spacing w:after="0" w:line="240" w:lineRule="auto"/>
        <w:rPr>
          <w:rFonts w:ascii="Verdana" w:hAnsi="Verdana" w:cs="Arial"/>
          <w:sz w:val="24"/>
          <w:szCs w:val="24"/>
        </w:rPr>
      </w:pPr>
      <w:r>
        <w:rPr>
          <w:rFonts w:ascii="Verdana" w:hAnsi="Verdana" w:cs="Arial"/>
          <w:sz w:val="24"/>
          <w:szCs w:val="24"/>
        </w:rPr>
        <w:t>Renal NEPTS £1,190</w:t>
      </w:r>
      <w:r w:rsidR="0056600B">
        <w:rPr>
          <w:rFonts w:ascii="Verdana" w:hAnsi="Verdana" w:cs="Arial"/>
          <w:sz w:val="24"/>
          <w:szCs w:val="24"/>
        </w:rPr>
        <w:t>k</w:t>
      </w:r>
    </w:p>
    <w:p w14:paraId="69328972" w14:textId="77777777" w:rsidR="00CA5DD0" w:rsidRDefault="00CA5DD0" w:rsidP="00851A26">
      <w:pPr>
        <w:pStyle w:val="ListParagraph"/>
        <w:numPr>
          <w:ilvl w:val="0"/>
          <w:numId w:val="21"/>
        </w:numPr>
        <w:spacing w:after="0" w:line="240" w:lineRule="auto"/>
        <w:rPr>
          <w:rFonts w:ascii="Verdana" w:hAnsi="Verdana" w:cs="Arial"/>
          <w:sz w:val="24"/>
          <w:szCs w:val="24"/>
        </w:rPr>
      </w:pPr>
      <w:r w:rsidRPr="00CA5DD0">
        <w:rPr>
          <w:rFonts w:ascii="Verdana" w:hAnsi="Verdana" w:cs="Arial"/>
          <w:sz w:val="24"/>
          <w:szCs w:val="24"/>
        </w:rPr>
        <w:t>EASC Ring Fenced Allocations</w:t>
      </w:r>
    </w:p>
    <w:p w14:paraId="3F3C429F" w14:textId="77777777" w:rsidR="00CA5DD0" w:rsidRDefault="00CA5DD0" w:rsidP="00851A26">
      <w:pPr>
        <w:pStyle w:val="ListParagraph"/>
        <w:numPr>
          <w:ilvl w:val="1"/>
          <w:numId w:val="21"/>
        </w:numPr>
        <w:spacing w:after="0" w:line="240" w:lineRule="auto"/>
        <w:rPr>
          <w:rFonts w:ascii="Verdana" w:hAnsi="Verdana" w:cs="Arial"/>
          <w:sz w:val="24"/>
          <w:szCs w:val="24"/>
        </w:rPr>
      </w:pPr>
      <w:r w:rsidRPr="00851A26">
        <w:rPr>
          <w:rFonts w:ascii="Verdana" w:hAnsi="Verdana" w:cs="Arial"/>
          <w:sz w:val="24"/>
          <w:szCs w:val="24"/>
        </w:rPr>
        <w:t>D&amp;C Phase 2 Front Line In Year Allocation Reserve (Non Recurrent)</w:t>
      </w:r>
      <w:r w:rsidRPr="00CA5DD0">
        <w:rPr>
          <w:rFonts w:ascii="Verdana" w:hAnsi="Verdana" w:cs="Arial"/>
          <w:sz w:val="24"/>
          <w:szCs w:val="24"/>
        </w:rPr>
        <w:t xml:space="preserve"> £2,000k</w:t>
      </w:r>
    </w:p>
    <w:p w14:paraId="09317161" w14:textId="485445F5" w:rsidR="00CA5DD0" w:rsidRPr="00851A26" w:rsidRDefault="00CA5DD0" w:rsidP="00851A26">
      <w:pPr>
        <w:pStyle w:val="ListParagraph"/>
        <w:numPr>
          <w:ilvl w:val="1"/>
          <w:numId w:val="21"/>
        </w:numPr>
        <w:spacing w:after="0" w:line="240" w:lineRule="auto"/>
        <w:rPr>
          <w:rFonts w:ascii="Verdana" w:hAnsi="Verdana" w:cs="Arial"/>
          <w:sz w:val="24"/>
          <w:szCs w:val="24"/>
        </w:rPr>
      </w:pPr>
      <w:r w:rsidRPr="00851A26">
        <w:rPr>
          <w:rFonts w:ascii="Verdana" w:hAnsi="Verdana" w:cs="Arial"/>
          <w:sz w:val="24"/>
          <w:szCs w:val="24"/>
        </w:rPr>
        <w:t>Major Trauma Ring Fenced Commissioner Allocation 2021/22</w:t>
      </w:r>
      <w:r>
        <w:rPr>
          <w:rFonts w:ascii="Verdana" w:hAnsi="Verdana" w:cs="Arial"/>
          <w:sz w:val="24"/>
          <w:szCs w:val="24"/>
        </w:rPr>
        <w:t xml:space="preserve"> £640k</w:t>
      </w:r>
    </w:p>
    <w:p w14:paraId="78381753" w14:textId="5EEDB04C" w:rsidR="00C61733" w:rsidRPr="00C61733" w:rsidRDefault="00C61733" w:rsidP="00851A26">
      <w:pPr>
        <w:pStyle w:val="ListParagraph"/>
        <w:rPr>
          <w:rFonts w:ascii="Verdana" w:hAnsi="Verdana" w:cs="Arial"/>
          <w:sz w:val="24"/>
          <w:szCs w:val="24"/>
        </w:rPr>
      </w:pPr>
    </w:p>
    <w:p w14:paraId="1AE3BE95" w14:textId="3586E2E6" w:rsidR="00C61733" w:rsidRPr="00E62C72" w:rsidRDefault="00C61733" w:rsidP="00E62C72">
      <w:pPr>
        <w:pStyle w:val="ListParagraph"/>
        <w:numPr>
          <w:ilvl w:val="1"/>
          <w:numId w:val="1"/>
        </w:numPr>
        <w:spacing w:after="0" w:line="240" w:lineRule="auto"/>
        <w:jc w:val="both"/>
        <w:rPr>
          <w:rFonts w:ascii="Verdana" w:hAnsi="Verdana" w:cs="Arial"/>
          <w:sz w:val="24"/>
          <w:szCs w:val="24"/>
          <w:u w:val="single"/>
        </w:rPr>
      </w:pPr>
      <w:r w:rsidRPr="00C61733">
        <w:rPr>
          <w:rFonts w:ascii="Verdana" w:hAnsi="Verdana" w:cs="Arial"/>
          <w:sz w:val="24"/>
          <w:szCs w:val="24"/>
        </w:rPr>
        <w:t xml:space="preserve">The funding for </w:t>
      </w:r>
      <w:r w:rsidR="00851A26" w:rsidRPr="00C61733">
        <w:rPr>
          <w:rFonts w:ascii="Verdana" w:hAnsi="Verdana" w:cs="Arial"/>
          <w:sz w:val="24"/>
          <w:szCs w:val="24"/>
        </w:rPr>
        <w:t xml:space="preserve">renal transport </w:t>
      </w:r>
      <w:r w:rsidRPr="00C61733">
        <w:rPr>
          <w:rFonts w:ascii="Verdana" w:hAnsi="Verdana" w:cs="Arial"/>
          <w:sz w:val="24"/>
          <w:szCs w:val="24"/>
        </w:rPr>
        <w:t xml:space="preserve">has been separated from WAST and will be reported separately. Air Ambulance (EMRTS) has been transferred from WAST and now sits within EASC – EMRTS and will be paid directly to Swansea Bay UHB. </w:t>
      </w:r>
    </w:p>
    <w:p w14:paraId="6521182E" w14:textId="77777777" w:rsidR="00A50A51" w:rsidRDefault="00A50A51" w:rsidP="00E62C72">
      <w:pPr>
        <w:spacing w:after="0" w:line="240" w:lineRule="auto"/>
        <w:jc w:val="both"/>
        <w:rPr>
          <w:rFonts w:ascii="Verdana" w:hAnsi="Verdana" w:cs="Arial"/>
          <w:sz w:val="24"/>
          <w:szCs w:val="24"/>
          <w:u w:val="single"/>
        </w:rPr>
      </w:pPr>
    </w:p>
    <w:p w14:paraId="3045BFC2" w14:textId="77777777" w:rsidR="00C61733" w:rsidRDefault="00C61733" w:rsidP="00C61733">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t>EMRTS</w:t>
      </w:r>
    </w:p>
    <w:p w14:paraId="158F65B7" w14:textId="794BCAE6" w:rsid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 xml:space="preserve">There is a breakeven position reported against the </w:t>
      </w:r>
      <w:r w:rsidR="00E62C72">
        <w:rPr>
          <w:rFonts w:ascii="Verdana" w:hAnsi="Verdana" w:cs="Arial"/>
          <w:sz w:val="24"/>
          <w:szCs w:val="24"/>
        </w:rPr>
        <w:t>EMRTS baseline funding of £</w:t>
      </w:r>
      <w:r w:rsidR="00CA5DD0">
        <w:rPr>
          <w:rFonts w:ascii="Verdana" w:hAnsi="Verdana" w:cs="Arial"/>
          <w:sz w:val="24"/>
          <w:szCs w:val="24"/>
        </w:rPr>
        <w:t>7,420</w:t>
      </w:r>
      <w:r w:rsidR="00A82F50">
        <w:rPr>
          <w:rFonts w:ascii="Verdana" w:hAnsi="Verdana" w:cs="Arial"/>
          <w:sz w:val="24"/>
          <w:szCs w:val="24"/>
        </w:rPr>
        <w:t>k</w:t>
      </w:r>
      <w:r w:rsidRPr="00C61733">
        <w:rPr>
          <w:rFonts w:ascii="Verdana" w:hAnsi="Verdana" w:cs="Arial"/>
          <w:sz w:val="24"/>
          <w:szCs w:val="24"/>
        </w:rPr>
        <w:t>.</w:t>
      </w:r>
      <w:r w:rsidR="00623494">
        <w:rPr>
          <w:rFonts w:ascii="Verdana" w:hAnsi="Verdana" w:cs="Arial"/>
          <w:sz w:val="24"/>
          <w:szCs w:val="24"/>
        </w:rPr>
        <w:t xml:space="preserve"> </w:t>
      </w:r>
      <w:r w:rsidR="00CA5DD0">
        <w:rPr>
          <w:rFonts w:ascii="Verdana" w:hAnsi="Verdana" w:cs="Arial"/>
          <w:sz w:val="24"/>
          <w:szCs w:val="24"/>
        </w:rPr>
        <w:t>This budget consists of the following service lines:</w:t>
      </w:r>
    </w:p>
    <w:p w14:paraId="7DE294EB" w14:textId="25D210F4" w:rsidR="00CA5DD0" w:rsidRDefault="00CA5DD0" w:rsidP="00851A26">
      <w:pPr>
        <w:pStyle w:val="ListParagraph"/>
        <w:numPr>
          <w:ilvl w:val="0"/>
          <w:numId w:val="21"/>
        </w:numPr>
        <w:spacing w:after="0" w:line="240" w:lineRule="auto"/>
        <w:jc w:val="both"/>
        <w:rPr>
          <w:rFonts w:ascii="Verdana" w:hAnsi="Verdana" w:cs="Arial"/>
          <w:sz w:val="24"/>
          <w:szCs w:val="24"/>
        </w:rPr>
      </w:pPr>
      <w:r>
        <w:rPr>
          <w:rFonts w:ascii="Verdana" w:hAnsi="Verdana" w:cs="Arial"/>
          <w:sz w:val="24"/>
          <w:szCs w:val="24"/>
        </w:rPr>
        <w:t>EMRTS £4,743</w:t>
      </w:r>
      <w:r w:rsidR="0056600B">
        <w:rPr>
          <w:rFonts w:ascii="Verdana" w:hAnsi="Verdana" w:cs="Arial"/>
          <w:sz w:val="24"/>
          <w:szCs w:val="24"/>
        </w:rPr>
        <w:t>k</w:t>
      </w:r>
    </w:p>
    <w:p w14:paraId="27420CB8" w14:textId="77777777" w:rsidR="00CA5DD0" w:rsidRDefault="00CA5DD0" w:rsidP="00851A26">
      <w:pPr>
        <w:pStyle w:val="ListParagraph"/>
        <w:numPr>
          <w:ilvl w:val="0"/>
          <w:numId w:val="21"/>
        </w:numPr>
        <w:spacing w:after="0" w:line="240" w:lineRule="auto"/>
        <w:jc w:val="both"/>
        <w:rPr>
          <w:rFonts w:ascii="Verdana" w:hAnsi="Verdana" w:cs="Arial"/>
          <w:sz w:val="24"/>
          <w:szCs w:val="24"/>
        </w:rPr>
      </w:pPr>
      <w:r w:rsidRPr="00CA5DD0">
        <w:rPr>
          <w:rFonts w:ascii="Verdana" w:hAnsi="Verdana" w:cs="Arial"/>
          <w:sz w:val="24"/>
          <w:szCs w:val="24"/>
        </w:rPr>
        <w:t>EASC Ring Fenced Allocations</w:t>
      </w:r>
    </w:p>
    <w:p w14:paraId="66156BD2" w14:textId="06E12DE5" w:rsidR="00CA5DD0" w:rsidRDefault="00CA5DD0" w:rsidP="00851A26">
      <w:pPr>
        <w:pStyle w:val="ListParagraph"/>
        <w:numPr>
          <w:ilvl w:val="1"/>
          <w:numId w:val="21"/>
        </w:numPr>
        <w:spacing w:after="0" w:line="240" w:lineRule="auto"/>
        <w:jc w:val="both"/>
        <w:rPr>
          <w:rFonts w:ascii="Verdana" w:hAnsi="Verdana" w:cs="Arial"/>
          <w:sz w:val="24"/>
          <w:szCs w:val="24"/>
        </w:rPr>
      </w:pPr>
      <w:r w:rsidRPr="00851A26">
        <w:rPr>
          <w:rFonts w:ascii="Verdana" w:hAnsi="Verdana" w:cs="Arial"/>
          <w:sz w:val="24"/>
          <w:szCs w:val="24"/>
        </w:rPr>
        <w:t xml:space="preserve">EMRTS 24/7 Expansion Plan </w:t>
      </w:r>
      <w:r w:rsidRPr="00CA5DD0">
        <w:rPr>
          <w:rFonts w:ascii="Verdana" w:hAnsi="Verdana" w:cs="Arial"/>
          <w:sz w:val="24"/>
          <w:szCs w:val="24"/>
        </w:rPr>
        <w:t>–</w:t>
      </w:r>
      <w:r w:rsidRPr="00851A26">
        <w:rPr>
          <w:rFonts w:ascii="Verdana" w:hAnsi="Verdana" w:cs="Arial"/>
          <w:sz w:val="24"/>
          <w:szCs w:val="24"/>
        </w:rPr>
        <w:t xml:space="preserve"> NR</w:t>
      </w:r>
      <w:r w:rsidRPr="00CA5DD0">
        <w:rPr>
          <w:rFonts w:ascii="Verdana" w:hAnsi="Verdana" w:cs="Arial"/>
          <w:sz w:val="24"/>
          <w:szCs w:val="24"/>
        </w:rPr>
        <w:t xml:space="preserve"> £1,257</w:t>
      </w:r>
      <w:r w:rsidR="0056600B">
        <w:rPr>
          <w:rFonts w:ascii="Verdana" w:hAnsi="Verdana" w:cs="Arial"/>
          <w:sz w:val="24"/>
          <w:szCs w:val="24"/>
        </w:rPr>
        <w:t>k</w:t>
      </w:r>
    </w:p>
    <w:p w14:paraId="27001F8F" w14:textId="07AA6816" w:rsidR="00CA5DD0" w:rsidRPr="00851A26" w:rsidRDefault="00CA5DD0" w:rsidP="00851A26">
      <w:pPr>
        <w:pStyle w:val="ListParagraph"/>
        <w:numPr>
          <w:ilvl w:val="1"/>
          <w:numId w:val="21"/>
        </w:numPr>
        <w:spacing w:after="0" w:line="240" w:lineRule="auto"/>
        <w:jc w:val="both"/>
        <w:rPr>
          <w:rFonts w:ascii="Verdana" w:hAnsi="Verdana" w:cs="Arial"/>
          <w:sz w:val="24"/>
          <w:szCs w:val="24"/>
        </w:rPr>
      </w:pPr>
      <w:r w:rsidRPr="00851A26">
        <w:rPr>
          <w:rFonts w:ascii="Verdana" w:hAnsi="Verdana" w:cs="Arial"/>
          <w:sz w:val="24"/>
          <w:szCs w:val="24"/>
        </w:rPr>
        <w:lastRenderedPageBreak/>
        <w:t>EMRTS Critical Care Ring Fenced Commissioner Allocation</w:t>
      </w:r>
      <w:r w:rsidR="0056600B">
        <w:rPr>
          <w:rFonts w:ascii="Verdana" w:hAnsi="Verdana" w:cs="Arial"/>
          <w:sz w:val="24"/>
          <w:szCs w:val="24"/>
        </w:rPr>
        <w:t xml:space="preserve"> - £1,420k</w:t>
      </w:r>
    </w:p>
    <w:p w14:paraId="393DE796" w14:textId="77777777" w:rsidR="00C61733" w:rsidRDefault="00C61733" w:rsidP="00C61733">
      <w:pPr>
        <w:pStyle w:val="ListParagraph"/>
        <w:spacing w:after="0" w:line="240" w:lineRule="auto"/>
        <w:jc w:val="both"/>
        <w:rPr>
          <w:rFonts w:ascii="Verdana" w:hAnsi="Verdana" w:cs="Arial"/>
          <w:sz w:val="24"/>
          <w:szCs w:val="24"/>
        </w:rPr>
      </w:pPr>
    </w:p>
    <w:p w14:paraId="16EA319F" w14:textId="1BF335F8" w:rsidR="00C61733" w:rsidRPr="00C61733" w:rsidRDefault="00543056" w:rsidP="00C61733">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t>EASC Ring Fenced Allocation</w:t>
      </w:r>
    </w:p>
    <w:p w14:paraId="562C8F37" w14:textId="12BB5FB5" w:rsidR="00543056" w:rsidRDefault="00543056" w:rsidP="00C6173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After the funding for this area has been allocated to its correct service lines as detailed previously, this leave the following funding that is currently forecast to breakeven:</w:t>
      </w:r>
    </w:p>
    <w:p w14:paraId="7FF44CB0" w14:textId="3371A66A" w:rsidR="00543056" w:rsidRPr="00851A26" w:rsidRDefault="00543056" w:rsidP="00851A26">
      <w:pPr>
        <w:pStyle w:val="ListParagraph"/>
        <w:numPr>
          <w:ilvl w:val="0"/>
          <w:numId w:val="21"/>
        </w:numPr>
        <w:spacing w:after="0" w:line="240" w:lineRule="auto"/>
        <w:jc w:val="both"/>
        <w:rPr>
          <w:rFonts w:ascii="Verdana" w:hAnsi="Verdana" w:cs="Arial"/>
          <w:sz w:val="24"/>
          <w:szCs w:val="24"/>
        </w:rPr>
      </w:pPr>
      <w:r w:rsidRPr="00851A26">
        <w:rPr>
          <w:rFonts w:ascii="Verdana" w:hAnsi="Verdana" w:cs="Arial"/>
          <w:sz w:val="24"/>
          <w:szCs w:val="24"/>
        </w:rPr>
        <w:t>Critical Care Commissioner Allocation</w:t>
      </w:r>
      <w:r>
        <w:rPr>
          <w:rFonts w:ascii="Verdana" w:hAnsi="Verdana" w:cs="Arial"/>
          <w:sz w:val="24"/>
          <w:szCs w:val="24"/>
        </w:rPr>
        <w:t xml:space="preserve"> £280k</w:t>
      </w:r>
    </w:p>
    <w:p w14:paraId="51CC3799" w14:textId="77777777" w:rsidR="00543056" w:rsidRDefault="00543056" w:rsidP="00851A26">
      <w:pPr>
        <w:pStyle w:val="ListParagraph"/>
        <w:spacing w:after="0" w:line="240" w:lineRule="auto"/>
        <w:jc w:val="both"/>
        <w:rPr>
          <w:rFonts w:ascii="Verdana" w:hAnsi="Verdana" w:cs="Arial"/>
          <w:sz w:val="24"/>
          <w:szCs w:val="24"/>
        </w:rPr>
      </w:pPr>
    </w:p>
    <w:p w14:paraId="227DDB99" w14:textId="38D428DA" w:rsidR="00543056" w:rsidRDefault="00543056" w:rsidP="00851A26">
      <w:pPr>
        <w:pStyle w:val="ListParagraph"/>
        <w:spacing w:after="0" w:line="240" w:lineRule="auto"/>
        <w:jc w:val="both"/>
        <w:rPr>
          <w:rFonts w:ascii="Verdana" w:hAnsi="Verdana" w:cs="Arial"/>
          <w:sz w:val="24"/>
          <w:szCs w:val="24"/>
        </w:rPr>
      </w:pPr>
      <w:r w:rsidRPr="00C61733">
        <w:rPr>
          <w:rFonts w:ascii="Verdana" w:hAnsi="Verdana" w:cs="Arial"/>
          <w:sz w:val="24"/>
          <w:szCs w:val="24"/>
          <w:u w:val="single"/>
        </w:rPr>
        <w:t>Core running costs budget</w:t>
      </w:r>
    </w:p>
    <w:p w14:paraId="5997559F" w14:textId="77777777" w:rsidR="00C61733" w:rsidRP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Costs are reported against two separate lines to reflect the original investment by LHB’s. Please note that these have not yet been amalgamated in risk-sharing lines due to the different purposes of the two sources of funding at this point.</w:t>
      </w:r>
    </w:p>
    <w:p w14:paraId="1DBC8B28" w14:textId="77777777" w:rsidR="00C61733" w:rsidRPr="00C61733" w:rsidRDefault="00C61733" w:rsidP="00C61733">
      <w:pPr>
        <w:pStyle w:val="ListParagraph"/>
        <w:spacing w:after="0" w:line="240" w:lineRule="auto"/>
        <w:jc w:val="both"/>
        <w:rPr>
          <w:rFonts w:ascii="Verdana" w:hAnsi="Verdana" w:cs="Arial"/>
          <w:sz w:val="24"/>
          <w:szCs w:val="24"/>
        </w:rPr>
      </w:pPr>
    </w:p>
    <w:p w14:paraId="65334190" w14:textId="3C1C3FB4" w:rsidR="00A82F50" w:rsidRDefault="00C61733" w:rsidP="006C4A3E">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The total funding for costs running th</w:t>
      </w:r>
      <w:r w:rsidR="00A82F50">
        <w:rPr>
          <w:rFonts w:ascii="Verdana" w:hAnsi="Verdana" w:cs="Arial"/>
          <w:sz w:val="24"/>
          <w:szCs w:val="24"/>
        </w:rPr>
        <w:t>rough the WHSSC ledger is £</w:t>
      </w:r>
      <w:r w:rsidR="00722A5A">
        <w:rPr>
          <w:rFonts w:ascii="Verdana" w:hAnsi="Verdana" w:cs="Arial"/>
          <w:sz w:val="24"/>
          <w:szCs w:val="24"/>
        </w:rPr>
        <w:t>610</w:t>
      </w:r>
      <w:r w:rsidRPr="00C61733">
        <w:rPr>
          <w:rFonts w:ascii="Verdana" w:hAnsi="Verdana" w:cs="Arial"/>
          <w:sz w:val="24"/>
          <w:szCs w:val="24"/>
        </w:rPr>
        <w:t>k. This is made up of</w:t>
      </w:r>
      <w:r w:rsidR="00A82F50">
        <w:rPr>
          <w:rFonts w:ascii="Verdana" w:hAnsi="Verdana" w:cs="Arial"/>
          <w:sz w:val="24"/>
          <w:szCs w:val="24"/>
        </w:rPr>
        <w:t>:</w:t>
      </w:r>
      <w:r w:rsidRPr="00C61733">
        <w:rPr>
          <w:rFonts w:ascii="Verdana" w:hAnsi="Verdana" w:cs="Arial"/>
          <w:sz w:val="24"/>
          <w:szCs w:val="24"/>
        </w:rPr>
        <w:t xml:space="preserve"> </w:t>
      </w:r>
    </w:p>
    <w:p w14:paraId="6FC6F17A" w14:textId="77777777" w:rsidR="00722A5A" w:rsidRPr="00851A26" w:rsidRDefault="00722A5A" w:rsidP="00851A26">
      <w:pPr>
        <w:pStyle w:val="ListParagraph"/>
        <w:rPr>
          <w:rFonts w:ascii="Verdana" w:hAnsi="Verdana" w:cs="Arial"/>
          <w:sz w:val="24"/>
          <w:szCs w:val="24"/>
        </w:rPr>
      </w:pPr>
    </w:p>
    <w:p w14:paraId="6D910703" w14:textId="56622946" w:rsidR="00722A5A" w:rsidRDefault="00722A5A" w:rsidP="00851A26">
      <w:pPr>
        <w:pStyle w:val="ListParagraph"/>
        <w:spacing w:after="0" w:line="240" w:lineRule="auto"/>
        <w:jc w:val="both"/>
        <w:rPr>
          <w:rFonts w:ascii="Verdana" w:hAnsi="Verdana" w:cs="Arial"/>
          <w:sz w:val="24"/>
          <w:szCs w:val="24"/>
        </w:rPr>
      </w:pPr>
      <w:r w:rsidRPr="00722A5A">
        <w:rPr>
          <w:noProof/>
          <w:lang w:val="en-GB" w:eastAsia="en-GB"/>
        </w:rPr>
        <w:drawing>
          <wp:inline distT="0" distB="0" distL="0" distR="0" wp14:anchorId="4FCA26B6" wp14:editId="322378C9">
            <wp:extent cx="5943600" cy="939677"/>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939677"/>
                    </a:xfrm>
                    <a:prstGeom prst="rect">
                      <a:avLst/>
                    </a:prstGeom>
                    <a:noFill/>
                    <a:ln>
                      <a:noFill/>
                    </a:ln>
                  </pic:spPr>
                </pic:pic>
              </a:graphicData>
            </a:graphic>
          </wp:inline>
        </w:drawing>
      </w:r>
    </w:p>
    <w:p w14:paraId="463260CF" w14:textId="67C32DA2" w:rsidR="00543056" w:rsidRPr="00851A26" w:rsidRDefault="00543056" w:rsidP="00851A26">
      <w:pPr>
        <w:spacing w:after="0" w:line="240" w:lineRule="auto"/>
        <w:jc w:val="both"/>
        <w:rPr>
          <w:rFonts w:ascii="Verdana" w:hAnsi="Verdana" w:cs="Arial"/>
          <w:sz w:val="24"/>
          <w:szCs w:val="24"/>
        </w:rPr>
      </w:pPr>
    </w:p>
    <w:p w14:paraId="15DD7BE2" w14:textId="77777777" w:rsidR="00722A5A" w:rsidRDefault="00722A5A" w:rsidP="00851A26">
      <w:pPr>
        <w:pStyle w:val="ListParagraph"/>
        <w:spacing w:after="0" w:line="240" w:lineRule="auto"/>
        <w:jc w:val="both"/>
        <w:rPr>
          <w:rFonts w:ascii="Verdana" w:hAnsi="Verdana" w:cs="Arial"/>
          <w:sz w:val="24"/>
          <w:szCs w:val="24"/>
        </w:rPr>
      </w:pPr>
    </w:p>
    <w:p w14:paraId="091766DD" w14:textId="61D1DCC3" w:rsidR="00722A5A" w:rsidRPr="00851A26" w:rsidRDefault="00722A5A" w:rsidP="00851A26">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t>EASC &amp; NCCU Commissioning</w:t>
      </w:r>
    </w:p>
    <w:p w14:paraId="6C86025D" w14:textId="7425A0C8" w:rsidR="004A3AE2" w:rsidRDefault="004A3AE2" w:rsidP="00A50A51">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The total funding for costs running th</w:t>
      </w:r>
      <w:r w:rsidR="00A50A51">
        <w:rPr>
          <w:rFonts w:ascii="Verdana" w:hAnsi="Verdana" w:cs="Arial"/>
          <w:sz w:val="24"/>
          <w:szCs w:val="24"/>
        </w:rPr>
        <w:t>rough the WHSSC ledger is £3,049</w:t>
      </w:r>
      <w:r w:rsidRPr="00C61733">
        <w:rPr>
          <w:rFonts w:ascii="Verdana" w:hAnsi="Verdana" w:cs="Arial"/>
          <w:sz w:val="24"/>
          <w:szCs w:val="24"/>
        </w:rPr>
        <w:t xml:space="preserve">k. </w:t>
      </w:r>
      <w:r w:rsidR="00A50A51">
        <w:rPr>
          <w:rFonts w:ascii="Verdana" w:hAnsi="Verdana" w:cs="Arial"/>
          <w:sz w:val="24"/>
          <w:szCs w:val="24"/>
        </w:rPr>
        <w:t xml:space="preserve">The baseline increase at month 6 of £1,053 consists of £230k for </w:t>
      </w:r>
      <w:r w:rsidR="00A50A51" w:rsidRPr="00A50A51">
        <w:rPr>
          <w:rFonts w:ascii="Verdana" w:hAnsi="Verdana" w:cs="Arial"/>
          <w:sz w:val="24"/>
          <w:szCs w:val="24"/>
        </w:rPr>
        <w:t xml:space="preserve">QAIS - Think 111 Mental Health </w:t>
      </w:r>
      <w:r w:rsidR="00A50A51">
        <w:rPr>
          <w:rFonts w:ascii="Verdana" w:hAnsi="Verdana" w:cs="Arial"/>
          <w:sz w:val="24"/>
          <w:szCs w:val="24"/>
        </w:rPr>
        <w:t xml:space="preserve">and £823k for </w:t>
      </w:r>
      <w:r w:rsidR="00A50A51" w:rsidRPr="00A50A51">
        <w:rPr>
          <w:rFonts w:ascii="Verdana" w:hAnsi="Verdana" w:cs="Arial"/>
          <w:sz w:val="24"/>
          <w:szCs w:val="24"/>
        </w:rPr>
        <w:t>QAIS - MH Conveyancing pilot</w:t>
      </w:r>
      <w:r w:rsidR="00A50A51">
        <w:rPr>
          <w:rFonts w:ascii="Verdana" w:hAnsi="Verdana" w:cs="Arial"/>
          <w:sz w:val="24"/>
          <w:szCs w:val="24"/>
        </w:rPr>
        <w:t>. The total consists of</w:t>
      </w:r>
      <w:r>
        <w:rPr>
          <w:rFonts w:ascii="Verdana" w:hAnsi="Verdana" w:cs="Arial"/>
          <w:sz w:val="24"/>
          <w:szCs w:val="24"/>
        </w:rPr>
        <w:t>:</w:t>
      </w:r>
      <w:r w:rsidRPr="00C61733">
        <w:rPr>
          <w:rFonts w:ascii="Verdana" w:hAnsi="Verdana" w:cs="Arial"/>
          <w:sz w:val="24"/>
          <w:szCs w:val="24"/>
        </w:rPr>
        <w:t xml:space="preserve"> </w:t>
      </w:r>
    </w:p>
    <w:p w14:paraId="1965C60C" w14:textId="77777777" w:rsidR="00722A5A" w:rsidRDefault="00722A5A" w:rsidP="00851A26">
      <w:pPr>
        <w:pStyle w:val="ListParagraph"/>
        <w:spacing w:after="0" w:line="240" w:lineRule="auto"/>
        <w:jc w:val="both"/>
        <w:rPr>
          <w:rFonts w:ascii="Verdana" w:hAnsi="Verdana" w:cs="Arial"/>
          <w:sz w:val="24"/>
          <w:szCs w:val="24"/>
        </w:rPr>
      </w:pPr>
    </w:p>
    <w:p w14:paraId="6C159023" w14:textId="3EDFBCC4" w:rsidR="004A3AE2" w:rsidRDefault="004A3AE2" w:rsidP="00851A26">
      <w:pPr>
        <w:pStyle w:val="ListParagraph"/>
        <w:spacing w:after="0" w:line="240" w:lineRule="auto"/>
        <w:jc w:val="both"/>
        <w:rPr>
          <w:rFonts w:ascii="Verdana" w:hAnsi="Verdana" w:cs="Arial"/>
          <w:sz w:val="24"/>
          <w:szCs w:val="24"/>
        </w:rPr>
      </w:pPr>
      <w:r w:rsidRPr="004A3AE2">
        <w:rPr>
          <w:noProof/>
          <w:lang w:val="en-GB" w:eastAsia="en-GB"/>
        </w:rPr>
        <w:drawing>
          <wp:inline distT="0" distB="0" distL="0" distR="0" wp14:anchorId="337FE081" wp14:editId="2F3E9F33">
            <wp:extent cx="5943600" cy="956971"/>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956971"/>
                    </a:xfrm>
                    <a:prstGeom prst="rect">
                      <a:avLst/>
                    </a:prstGeom>
                    <a:noFill/>
                    <a:ln>
                      <a:noFill/>
                    </a:ln>
                  </pic:spPr>
                </pic:pic>
              </a:graphicData>
            </a:graphic>
          </wp:inline>
        </w:drawing>
      </w:r>
    </w:p>
    <w:p w14:paraId="106E2246" w14:textId="77777777" w:rsidR="004A3AE2" w:rsidRDefault="004A3AE2" w:rsidP="00851A26">
      <w:pPr>
        <w:pStyle w:val="ListParagraph"/>
        <w:spacing w:after="0" w:line="240" w:lineRule="auto"/>
        <w:jc w:val="both"/>
        <w:rPr>
          <w:rFonts w:ascii="Verdana" w:hAnsi="Verdana" w:cs="Arial"/>
          <w:sz w:val="24"/>
          <w:szCs w:val="24"/>
        </w:rPr>
      </w:pPr>
    </w:p>
    <w:p w14:paraId="5C1155FC" w14:textId="149DF54B" w:rsidR="00543056" w:rsidRDefault="00A50A51" w:rsidP="00851A26">
      <w:pPr>
        <w:pStyle w:val="ListParagraph"/>
        <w:spacing w:after="0" w:line="240" w:lineRule="auto"/>
        <w:jc w:val="both"/>
        <w:rPr>
          <w:rFonts w:ascii="Verdana" w:hAnsi="Verdana" w:cs="Arial"/>
          <w:sz w:val="24"/>
          <w:szCs w:val="24"/>
        </w:rPr>
      </w:pPr>
      <w:r w:rsidRPr="00A50A51">
        <w:rPr>
          <w:noProof/>
          <w:lang w:val="en-GB" w:eastAsia="en-GB"/>
        </w:rPr>
        <w:lastRenderedPageBreak/>
        <w:drawing>
          <wp:inline distT="0" distB="0" distL="0" distR="0" wp14:anchorId="3CE7DECA" wp14:editId="2F30585C">
            <wp:extent cx="5943600" cy="1475811"/>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1475811"/>
                    </a:xfrm>
                    <a:prstGeom prst="rect">
                      <a:avLst/>
                    </a:prstGeom>
                    <a:noFill/>
                    <a:ln>
                      <a:noFill/>
                    </a:ln>
                  </pic:spPr>
                </pic:pic>
              </a:graphicData>
            </a:graphic>
          </wp:inline>
        </w:drawing>
      </w:r>
    </w:p>
    <w:p w14:paraId="0C378D18" w14:textId="77777777" w:rsidR="00543056" w:rsidRDefault="00543056" w:rsidP="00851A26">
      <w:pPr>
        <w:pStyle w:val="ListParagraph"/>
        <w:spacing w:after="0" w:line="240" w:lineRule="auto"/>
        <w:jc w:val="both"/>
        <w:rPr>
          <w:rFonts w:ascii="Verdana" w:hAnsi="Verdana" w:cs="Arial"/>
          <w:sz w:val="24"/>
          <w:szCs w:val="24"/>
        </w:rPr>
      </w:pPr>
    </w:p>
    <w:p w14:paraId="4BDE9FDD" w14:textId="77777777" w:rsidR="00543056" w:rsidRPr="00851A26" w:rsidRDefault="00543056" w:rsidP="00851A26">
      <w:pPr>
        <w:pStyle w:val="ListParagraph"/>
        <w:spacing w:after="0" w:line="240" w:lineRule="auto"/>
        <w:jc w:val="both"/>
        <w:rPr>
          <w:rFonts w:ascii="Verdana" w:hAnsi="Verdana" w:cs="Arial"/>
          <w:sz w:val="24"/>
          <w:szCs w:val="24"/>
        </w:rPr>
      </w:pPr>
    </w:p>
    <w:p w14:paraId="25472DE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Summary of Key Movements and Issues</w:t>
      </w:r>
    </w:p>
    <w:p w14:paraId="5910E4C0" w14:textId="77777777" w:rsidR="00CE462C" w:rsidRDefault="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There are no movements to report in the planned position in month.  The overall forecast remains at breakeven.</w:t>
      </w:r>
    </w:p>
    <w:p w14:paraId="78247D8D" w14:textId="77777777" w:rsidR="00CE462C" w:rsidRDefault="00CE462C" w:rsidP="00CE462C">
      <w:pPr>
        <w:pStyle w:val="ListParagraph"/>
        <w:spacing w:after="0" w:line="240" w:lineRule="auto"/>
        <w:jc w:val="both"/>
        <w:rPr>
          <w:rFonts w:ascii="Verdana" w:hAnsi="Verdana" w:cs="Arial"/>
          <w:sz w:val="24"/>
          <w:szCs w:val="24"/>
        </w:rPr>
      </w:pPr>
    </w:p>
    <w:p w14:paraId="2AF1885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 xml:space="preserve">Actual Year </w:t>
      </w:r>
      <w:proofErr w:type="gramStart"/>
      <w:r w:rsidRPr="00CE462C">
        <w:rPr>
          <w:rFonts w:ascii="Verdana" w:hAnsi="Verdana" w:cs="Arial"/>
          <w:sz w:val="24"/>
          <w:szCs w:val="24"/>
          <w:u w:val="single"/>
        </w:rPr>
        <w:t>To</w:t>
      </w:r>
      <w:proofErr w:type="gramEnd"/>
      <w:r w:rsidRPr="00CE462C">
        <w:rPr>
          <w:rFonts w:ascii="Verdana" w:hAnsi="Verdana" w:cs="Arial"/>
          <w:sz w:val="24"/>
          <w:szCs w:val="24"/>
          <w:u w:val="single"/>
        </w:rPr>
        <w:t xml:space="preserve"> Date and Forecast Over/Underspend (Provider positions)</w:t>
      </w:r>
    </w:p>
    <w:p w14:paraId="394F0064" w14:textId="4FB7E93B"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WAST:</w:t>
      </w:r>
    </w:p>
    <w:p w14:paraId="26CEBBF2" w14:textId="77777777" w:rsidR="00CE462C" w:rsidRPr="00CE462C" w:rsidRDefault="00CE462C" w:rsidP="00CE462C">
      <w:pPr>
        <w:pStyle w:val="ListParagraph"/>
        <w:spacing w:after="0" w:line="240" w:lineRule="auto"/>
        <w:jc w:val="both"/>
        <w:rPr>
          <w:rFonts w:ascii="Verdana" w:hAnsi="Verdana" w:cs="Arial"/>
          <w:sz w:val="24"/>
          <w:szCs w:val="24"/>
        </w:rPr>
      </w:pPr>
    </w:p>
    <w:p w14:paraId="640CEE8E" w14:textId="77777777" w:rsidR="00CE462C" w:rsidRP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Position reported to budget level</w:t>
      </w:r>
    </w:p>
    <w:p w14:paraId="5F28ADE7" w14:textId="77777777" w:rsidR="00CE462C" w:rsidRPr="00CE462C" w:rsidRDefault="00CE462C" w:rsidP="00CE462C">
      <w:pPr>
        <w:pStyle w:val="ListParagraph"/>
        <w:spacing w:after="0" w:line="240" w:lineRule="auto"/>
        <w:jc w:val="both"/>
        <w:rPr>
          <w:rFonts w:ascii="Verdana" w:hAnsi="Verdana" w:cs="Arial"/>
          <w:sz w:val="24"/>
          <w:szCs w:val="24"/>
        </w:rPr>
      </w:pPr>
    </w:p>
    <w:p w14:paraId="36A45B79"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Direct Running Costs (Staffing and non-pay):</w:t>
      </w:r>
    </w:p>
    <w:p w14:paraId="5A5601A7" w14:textId="77777777" w:rsidR="00CE462C" w:rsidRPr="00CE462C" w:rsidRDefault="00CE462C" w:rsidP="00CE462C">
      <w:pPr>
        <w:pStyle w:val="ListParagraph"/>
        <w:spacing w:after="0" w:line="240" w:lineRule="auto"/>
        <w:jc w:val="both"/>
        <w:rPr>
          <w:rFonts w:ascii="Verdana" w:hAnsi="Verdana" w:cs="Arial"/>
          <w:sz w:val="24"/>
          <w:szCs w:val="24"/>
        </w:rPr>
      </w:pPr>
    </w:p>
    <w:p w14:paraId="308A558F" w14:textId="4ADA7D3A" w:rsid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 xml:space="preserve">Team costs are based on expected staffing levels, including filling vacancies. </w:t>
      </w:r>
    </w:p>
    <w:p w14:paraId="46012C62" w14:textId="77777777" w:rsidR="00E62C72" w:rsidRPr="00E62C72" w:rsidRDefault="00E62C72" w:rsidP="00E62C72">
      <w:pPr>
        <w:spacing w:after="0" w:line="240" w:lineRule="auto"/>
        <w:jc w:val="both"/>
        <w:rPr>
          <w:rFonts w:ascii="Verdana" w:hAnsi="Verdana" w:cs="Arial"/>
          <w:sz w:val="24"/>
          <w:szCs w:val="24"/>
        </w:rPr>
      </w:pPr>
    </w:p>
    <w:p w14:paraId="35C4903A" w14:textId="7D340DB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Actual Yea</w:t>
      </w:r>
      <w:r w:rsidR="00E62C72">
        <w:rPr>
          <w:rFonts w:ascii="Verdana" w:hAnsi="Verdana" w:cs="Arial"/>
          <w:sz w:val="24"/>
          <w:szCs w:val="24"/>
          <w:u w:val="single"/>
        </w:rPr>
        <w:t>r to Date Over/(under)spend 202</w:t>
      </w:r>
      <w:r w:rsidR="004A3AE2">
        <w:rPr>
          <w:rFonts w:ascii="Verdana" w:hAnsi="Verdana" w:cs="Arial"/>
          <w:sz w:val="24"/>
          <w:szCs w:val="24"/>
          <w:u w:val="single"/>
        </w:rPr>
        <w:t>1</w:t>
      </w:r>
      <w:r w:rsidR="00E62C72">
        <w:rPr>
          <w:rFonts w:ascii="Verdana" w:hAnsi="Verdana" w:cs="Arial"/>
          <w:sz w:val="24"/>
          <w:szCs w:val="24"/>
          <w:u w:val="single"/>
        </w:rPr>
        <w:t>/2</w:t>
      </w:r>
      <w:r w:rsidR="004A3AE2">
        <w:rPr>
          <w:rFonts w:ascii="Verdana" w:hAnsi="Verdana" w:cs="Arial"/>
          <w:sz w:val="24"/>
          <w:szCs w:val="24"/>
          <w:u w:val="single"/>
        </w:rPr>
        <w:t>2</w:t>
      </w:r>
      <w:r w:rsidRPr="00CE462C">
        <w:rPr>
          <w:rFonts w:ascii="Verdana" w:hAnsi="Verdana" w:cs="Arial"/>
          <w:sz w:val="24"/>
          <w:szCs w:val="24"/>
          <w:u w:val="single"/>
        </w:rPr>
        <w:t xml:space="preserve"> (Commissioner positions)</w:t>
      </w:r>
    </w:p>
    <w:p w14:paraId="50DDE147" w14:textId="50FF278E" w:rsidR="00CE462C" w:rsidRPr="00CE462C" w:rsidRDefault="004A3AE2" w:rsidP="00CE462C">
      <w:pPr>
        <w:rPr>
          <w:rFonts w:ascii="Verdana" w:hAnsi="Verdana" w:cs="Arial"/>
          <w:sz w:val="24"/>
          <w:szCs w:val="24"/>
        </w:rPr>
      </w:pPr>
      <w:r w:rsidRPr="004A3AE2">
        <w:rPr>
          <w:rFonts w:ascii="Verdana" w:hAnsi="Verdana" w:cs="Arial"/>
          <w:sz w:val="24"/>
          <w:szCs w:val="24"/>
        </w:rPr>
        <w:lastRenderedPageBreak/>
        <w:t xml:space="preserve"> </w:t>
      </w:r>
      <w:r w:rsidR="00A50A51" w:rsidRPr="00A50A51">
        <w:rPr>
          <w:noProof/>
          <w:lang w:val="en-GB" w:eastAsia="en-GB"/>
        </w:rPr>
        <w:drawing>
          <wp:inline distT="0" distB="0" distL="0" distR="0" wp14:anchorId="7CE89EC5" wp14:editId="69A5C616">
            <wp:extent cx="5943600" cy="3812741"/>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3812741"/>
                    </a:xfrm>
                    <a:prstGeom prst="rect">
                      <a:avLst/>
                    </a:prstGeom>
                    <a:noFill/>
                    <a:ln>
                      <a:noFill/>
                    </a:ln>
                  </pic:spPr>
                </pic:pic>
              </a:graphicData>
            </a:graphic>
          </wp:inline>
        </w:drawing>
      </w:r>
    </w:p>
    <w:p w14:paraId="6B184352"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Income / Expenditure Assumptions</w:t>
      </w:r>
    </w:p>
    <w:p w14:paraId="1CDB9B86" w14:textId="77777777" w:rsidR="00CE462C" w:rsidRPr="00CE462C" w:rsidRDefault="00CE462C" w:rsidP="00CE462C">
      <w:pPr>
        <w:pStyle w:val="ListParagraph"/>
        <w:spacing w:after="0" w:line="240" w:lineRule="auto"/>
        <w:jc w:val="both"/>
        <w:rPr>
          <w:rFonts w:ascii="Verdana" w:hAnsi="Verdana" w:cs="Arial"/>
          <w:sz w:val="24"/>
          <w:szCs w:val="24"/>
        </w:rPr>
      </w:pPr>
    </w:p>
    <w:p w14:paraId="2FEA2B8A"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Income from LHB’s:</w:t>
      </w:r>
    </w:p>
    <w:p w14:paraId="45950807" w14:textId="77777777" w:rsidR="00CE462C" w:rsidRPr="00CE462C" w:rsidRDefault="00CE462C" w:rsidP="00CE462C">
      <w:pPr>
        <w:pStyle w:val="ListParagraph"/>
        <w:spacing w:after="0" w:line="240" w:lineRule="auto"/>
        <w:jc w:val="both"/>
        <w:rPr>
          <w:rFonts w:ascii="Verdana" w:hAnsi="Verdana" w:cs="Arial"/>
          <w:sz w:val="24"/>
          <w:szCs w:val="24"/>
        </w:rPr>
      </w:pPr>
    </w:p>
    <w:p w14:paraId="0161C58B" w14:textId="52369081" w:rsidR="00CE462C" w:rsidRDefault="00E62C72"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Income for Month </w:t>
      </w:r>
      <w:r w:rsidR="005F33C5">
        <w:rPr>
          <w:rFonts w:ascii="Verdana" w:hAnsi="Verdana" w:cs="Arial"/>
          <w:sz w:val="24"/>
          <w:szCs w:val="24"/>
        </w:rPr>
        <w:t>5</w:t>
      </w:r>
      <w:r w:rsidR="00F01092">
        <w:rPr>
          <w:rFonts w:ascii="Verdana" w:hAnsi="Verdana" w:cs="Arial"/>
          <w:sz w:val="24"/>
          <w:szCs w:val="24"/>
        </w:rPr>
        <w:t xml:space="preserve"> was</w:t>
      </w:r>
      <w:r w:rsidR="00CE462C" w:rsidRPr="00CE462C">
        <w:rPr>
          <w:rFonts w:ascii="Verdana" w:hAnsi="Verdana" w:cs="Arial"/>
          <w:sz w:val="24"/>
          <w:szCs w:val="24"/>
        </w:rPr>
        <w:t xml:space="preserve"> in line with expectations for the EASC element; future months will include a table by LHB.</w:t>
      </w:r>
    </w:p>
    <w:p w14:paraId="1EE42689" w14:textId="77777777" w:rsidR="00CE462C" w:rsidRDefault="00CE462C" w:rsidP="00CE462C">
      <w:pPr>
        <w:pStyle w:val="ListParagraph"/>
        <w:spacing w:after="0" w:line="240" w:lineRule="auto"/>
        <w:jc w:val="both"/>
        <w:rPr>
          <w:rFonts w:ascii="Verdana" w:hAnsi="Verdana" w:cs="Arial"/>
          <w:sz w:val="24"/>
          <w:szCs w:val="24"/>
        </w:rPr>
      </w:pPr>
    </w:p>
    <w:p w14:paraId="31A722B9"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Overview of Key Risks / Opportunities</w:t>
      </w:r>
    </w:p>
    <w:p w14:paraId="73EBE716" w14:textId="77777777" w:rsidR="00CE462C" w:rsidRPr="00CE462C" w:rsidRDefault="00CE462C" w:rsidP="00CE462C">
      <w:pPr>
        <w:pStyle w:val="ListParagraph"/>
        <w:spacing w:after="0" w:line="240" w:lineRule="auto"/>
        <w:jc w:val="both"/>
        <w:rPr>
          <w:rFonts w:ascii="Verdana" w:hAnsi="Verdana" w:cs="Arial"/>
          <w:sz w:val="24"/>
          <w:szCs w:val="24"/>
        </w:rPr>
      </w:pPr>
    </w:p>
    <w:p w14:paraId="3C0D3150" w14:textId="77777777" w:rsidR="00CE462C" w:rsidRDefault="00A82F50"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None to detail</w:t>
      </w:r>
    </w:p>
    <w:p w14:paraId="6129A519" w14:textId="77777777" w:rsidR="00CE462C" w:rsidRDefault="00CE462C" w:rsidP="00CE462C">
      <w:pPr>
        <w:pStyle w:val="ListParagraph"/>
        <w:spacing w:after="0" w:line="240" w:lineRule="auto"/>
        <w:jc w:val="both"/>
        <w:rPr>
          <w:rFonts w:ascii="Verdana" w:hAnsi="Verdana" w:cs="Arial"/>
          <w:sz w:val="24"/>
          <w:szCs w:val="24"/>
        </w:rPr>
      </w:pPr>
    </w:p>
    <w:p w14:paraId="15AFA486"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Public Sector Payment Compliance</w:t>
      </w:r>
    </w:p>
    <w:p w14:paraId="0E476680" w14:textId="77777777" w:rsidR="00CE462C" w:rsidRPr="00CE462C" w:rsidRDefault="00CE462C" w:rsidP="00CE462C">
      <w:pPr>
        <w:pStyle w:val="ListParagraph"/>
        <w:spacing w:after="0" w:line="240" w:lineRule="auto"/>
        <w:jc w:val="both"/>
        <w:rPr>
          <w:rFonts w:ascii="Verdana" w:hAnsi="Verdana" w:cs="Arial"/>
          <w:sz w:val="24"/>
          <w:szCs w:val="24"/>
        </w:rPr>
      </w:pPr>
    </w:p>
    <w:p w14:paraId="6433EA5B" w14:textId="77777777" w:rsidR="00CE462C" w:rsidRPr="00C61733"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The WHSSC/EASC payment compliance target is consolidated and reported through the Cwm Taf monitoring process.</w:t>
      </w:r>
    </w:p>
    <w:p w14:paraId="5A78D554" w14:textId="77777777" w:rsidR="00543056" w:rsidRDefault="00543056" w:rsidP="00C61733">
      <w:pPr>
        <w:rPr>
          <w:rFonts w:ascii="Verdana" w:hAnsi="Verdana" w:cs="Arial"/>
          <w:sz w:val="24"/>
          <w:szCs w:val="24"/>
        </w:rPr>
      </w:pPr>
    </w:p>
    <w:p w14:paraId="689CD061" w14:textId="77777777" w:rsidR="00543056" w:rsidRDefault="00543056" w:rsidP="00C61733">
      <w:pPr>
        <w:rPr>
          <w:rFonts w:ascii="Verdana" w:hAnsi="Verdana" w:cs="Arial"/>
          <w:sz w:val="24"/>
          <w:szCs w:val="24"/>
        </w:rPr>
      </w:pPr>
    </w:p>
    <w:p w14:paraId="07BEFF44" w14:textId="5D7B5CF1" w:rsidR="006A60C7" w:rsidRDefault="006A60C7" w:rsidP="00C61733">
      <w:pPr>
        <w:rPr>
          <w:rFonts w:ascii="Verdana" w:hAnsi="Verdana" w:cs="Arial"/>
          <w:sz w:val="24"/>
          <w:szCs w:val="24"/>
        </w:rPr>
      </w:pPr>
    </w:p>
    <w:p w14:paraId="60A96197" w14:textId="77777777" w:rsidR="00851A26" w:rsidRPr="00C61733" w:rsidRDefault="00851A26" w:rsidP="00C61733">
      <w:pPr>
        <w:rPr>
          <w:rFonts w:ascii="Verdana" w:hAnsi="Verdana" w:cs="Arial"/>
          <w:sz w:val="24"/>
          <w:szCs w:val="24"/>
        </w:rPr>
      </w:pPr>
    </w:p>
    <w:p w14:paraId="6A5EBC46" w14:textId="77777777"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lastRenderedPageBreak/>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4F69B733" w14:textId="77777777" w:rsidR="00E961C0" w:rsidRPr="00E23B12" w:rsidRDefault="00E961C0" w:rsidP="00344184">
      <w:pPr>
        <w:pStyle w:val="ListParagraph"/>
        <w:spacing w:after="0" w:line="240" w:lineRule="auto"/>
        <w:ind w:left="709"/>
        <w:rPr>
          <w:rFonts w:ascii="Verdana" w:hAnsi="Verdana" w:cs="Arial"/>
          <w:b/>
          <w:sz w:val="24"/>
          <w:szCs w:val="24"/>
        </w:rPr>
      </w:pPr>
    </w:p>
    <w:p w14:paraId="4DFCC416" w14:textId="6887FF3C" w:rsidR="00542DD0" w:rsidRPr="00851A26" w:rsidRDefault="006A60C7" w:rsidP="00851A26">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A</w:t>
      </w:r>
      <w:r w:rsidRPr="00851A26">
        <w:rPr>
          <w:rFonts w:ascii="Verdana" w:hAnsi="Verdana" w:cs="Arial"/>
          <w:sz w:val="24"/>
          <w:szCs w:val="24"/>
        </w:rPr>
        <w:t>ny additional funding required by WAST as a result of Covid-19 response will be provided to WAST directly by Welsh Government. WAST have agreed to share financial submissions with the CASC in</w:t>
      </w:r>
      <w:r>
        <w:rPr>
          <w:rFonts w:ascii="Verdana" w:hAnsi="Verdana" w:cs="Arial"/>
          <w:sz w:val="24"/>
          <w:szCs w:val="24"/>
        </w:rPr>
        <w:t xml:space="preserve"> order to understand how the in-</w:t>
      </w:r>
      <w:r w:rsidRPr="00851A26">
        <w:rPr>
          <w:rFonts w:ascii="Verdana" w:hAnsi="Verdana" w:cs="Arial"/>
          <w:sz w:val="24"/>
          <w:szCs w:val="24"/>
        </w:rPr>
        <w:t xml:space="preserve">year allocation is being </w:t>
      </w:r>
      <w:proofErr w:type="spellStart"/>
      <w:r w:rsidRPr="00851A26">
        <w:rPr>
          <w:rFonts w:ascii="Verdana" w:hAnsi="Verdana" w:cs="Arial"/>
          <w:sz w:val="24"/>
          <w:szCs w:val="24"/>
        </w:rPr>
        <w:t>utilised</w:t>
      </w:r>
      <w:proofErr w:type="spellEnd"/>
      <w:r w:rsidRPr="00851A26">
        <w:rPr>
          <w:rFonts w:ascii="Verdana" w:hAnsi="Verdana" w:cs="Arial"/>
          <w:sz w:val="24"/>
          <w:szCs w:val="24"/>
        </w:rPr>
        <w:t xml:space="preserve"> and how it will be impacted as a result of Covid-19.</w:t>
      </w:r>
      <w:r>
        <w:rPr>
          <w:rFonts w:ascii="Arial" w:hAnsi="Arial" w:cs="Arial"/>
          <w:color w:val="1F497D"/>
          <w:sz w:val="20"/>
          <w:szCs w:val="20"/>
        </w:rPr>
        <w:t xml:space="preserve"> </w:t>
      </w:r>
    </w:p>
    <w:p w14:paraId="445783C7" w14:textId="77777777" w:rsidR="00A50A51" w:rsidRPr="00851A26" w:rsidRDefault="00A50A51" w:rsidP="00851A26">
      <w:pPr>
        <w:pStyle w:val="ListParagraph"/>
        <w:spacing w:after="0" w:line="240" w:lineRule="auto"/>
        <w:jc w:val="both"/>
        <w:rPr>
          <w:rFonts w:ascii="Verdana" w:hAnsi="Verdana" w:cs="Arial"/>
          <w:sz w:val="28"/>
          <w:szCs w:val="24"/>
        </w:rPr>
      </w:pPr>
    </w:p>
    <w:p w14:paraId="4A8E7061" w14:textId="5491B177" w:rsidR="00B423F3" w:rsidRPr="00851A26" w:rsidRDefault="00B423F3" w:rsidP="00851A26">
      <w:pPr>
        <w:pStyle w:val="ListParagraph"/>
        <w:numPr>
          <w:ilvl w:val="1"/>
          <w:numId w:val="1"/>
        </w:numPr>
        <w:spacing w:after="0" w:line="240" w:lineRule="auto"/>
        <w:jc w:val="both"/>
        <w:rPr>
          <w:rFonts w:ascii="Verdana" w:hAnsi="Verdana" w:cs="Arial"/>
          <w:sz w:val="24"/>
          <w:szCs w:val="24"/>
        </w:rPr>
      </w:pPr>
      <w:r w:rsidRPr="00851A26">
        <w:rPr>
          <w:rFonts w:ascii="Verdana" w:hAnsi="Verdana" w:cs="Arial"/>
          <w:sz w:val="24"/>
          <w:szCs w:val="24"/>
        </w:rPr>
        <w:t>The EASC Joint Committee met on 7 September</w:t>
      </w:r>
      <w:r w:rsidR="00851A26">
        <w:rPr>
          <w:rFonts w:ascii="Verdana" w:hAnsi="Verdana" w:cs="Arial"/>
          <w:sz w:val="24"/>
          <w:szCs w:val="24"/>
        </w:rPr>
        <w:t xml:space="preserve"> 2021</w:t>
      </w:r>
      <w:r w:rsidRPr="00851A26">
        <w:rPr>
          <w:rFonts w:ascii="Verdana" w:hAnsi="Verdana" w:cs="Arial"/>
          <w:sz w:val="24"/>
          <w:szCs w:val="24"/>
        </w:rPr>
        <w:t xml:space="preserve"> and considered a number of options for increasing system capacity to respond to the pressures currently being experienced.  These will be developed further and subject to discussion with health boards and Welsh Government over the coming months.</w:t>
      </w:r>
    </w:p>
    <w:p w14:paraId="6E6195BC" w14:textId="77777777" w:rsidR="00542DD0" w:rsidRPr="00851A26" w:rsidRDefault="00542DD0" w:rsidP="00851A26">
      <w:pPr>
        <w:pStyle w:val="ListParagraph"/>
        <w:spacing w:after="0" w:line="240" w:lineRule="auto"/>
        <w:jc w:val="both"/>
        <w:rPr>
          <w:rFonts w:ascii="Verdana" w:hAnsi="Verdana" w:cs="Arial"/>
          <w:sz w:val="28"/>
          <w:szCs w:val="24"/>
        </w:rPr>
      </w:pPr>
    </w:p>
    <w:p w14:paraId="28EA9F49" w14:textId="73705CA1" w:rsidR="00542DD0" w:rsidRDefault="00542DD0" w:rsidP="00542DD0">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RESPONSES TO ACTIONS NOTES</w:t>
      </w:r>
      <w:r w:rsidR="00B434EC">
        <w:rPr>
          <w:rFonts w:ascii="Verdana" w:hAnsi="Verdana" w:cs="Arial"/>
          <w:b/>
          <w:sz w:val="24"/>
          <w:szCs w:val="24"/>
        </w:rPr>
        <w:t xml:space="preserve"> FROM WG MMR RESPONSES</w:t>
      </w:r>
    </w:p>
    <w:p w14:paraId="389E910A" w14:textId="77777777" w:rsidR="00B434EC" w:rsidRDefault="00B434EC" w:rsidP="00851A26">
      <w:pPr>
        <w:spacing w:after="0" w:line="240" w:lineRule="auto"/>
        <w:rPr>
          <w:rFonts w:ascii="Verdana" w:hAnsi="Verdana" w:cs="Arial"/>
          <w:b/>
          <w:sz w:val="24"/>
          <w:szCs w:val="24"/>
        </w:rPr>
      </w:pPr>
    </w:p>
    <w:p w14:paraId="791B54EF" w14:textId="1BC6A860" w:rsidR="00B434EC" w:rsidRPr="00851A26" w:rsidRDefault="00E4797B" w:rsidP="00B434EC">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Action 4.2 – The £10.1m has not been collected by EASC from LHBs, this is funding above the baseline that WAST are assuming in their </w:t>
      </w:r>
      <w:proofErr w:type="spellStart"/>
      <w:r>
        <w:rPr>
          <w:rFonts w:ascii="Verdana" w:hAnsi="Verdana" w:cs="Arial"/>
          <w:sz w:val="24"/>
          <w:szCs w:val="24"/>
        </w:rPr>
        <w:t>year end</w:t>
      </w:r>
      <w:proofErr w:type="spellEnd"/>
      <w:r>
        <w:rPr>
          <w:rFonts w:ascii="Verdana" w:hAnsi="Verdana" w:cs="Arial"/>
          <w:sz w:val="24"/>
          <w:szCs w:val="24"/>
        </w:rPr>
        <w:t xml:space="preserve"> outturn. The details are below.</w:t>
      </w:r>
    </w:p>
    <w:p w14:paraId="2F362EB0" w14:textId="2CB3B9EC" w:rsidR="00E4797B" w:rsidRDefault="00E4797B" w:rsidP="00851A26">
      <w:pPr>
        <w:spacing w:after="0" w:line="240" w:lineRule="auto"/>
        <w:jc w:val="both"/>
        <w:rPr>
          <w:rFonts w:ascii="Verdana" w:hAnsi="Verdana" w:cs="Arial"/>
          <w:sz w:val="28"/>
          <w:szCs w:val="24"/>
        </w:rPr>
      </w:pPr>
    </w:p>
    <w:p w14:paraId="05F07019" w14:textId="376BEA41" w:rsidR="00E4797B" w:rsidRPr="00851A26" w:rsidRDefault="008A3D7E" w:rsidP="00851A26">
      <w:pPr>
        <w:spacing w:after="0" w:line="240" w:lineRule="auto"/>
        <w:jc w:val="both"/>
        <w:rPr>
          <w:rFonts w:ascii="Verdana" w:hAnsi="Verdana" w:cs="Arial"/>
          <w:sz w:val="28"/>
          <w:szCs w:val="24"/>
        </w:rPr>
      </w:pPr>
      <w:r w:rsidRPr="008A3D7E">
        <w:rPr>
          <w:noProof/>
          <w:lang w:val="en-GB" w:eastAsia="en-GB"/>
        </w:rPr>
        <w:drawing>
          <wp:inline distT="0" distB="0" distL="0" distR="0" wp14:anchorId="0876475E" wp14:editId="0B645119">
            <wp:extent cx="5943600" cy="1633595"/>
            <wp:effectExtent l="0" t="0" r="0" b="508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1633595"/>
                    </a:xfrm>
                    <a:prstGeom prst="rect">
                      <a:avLst/>
                    </a:prstGeom>
                    <a:noFill/>
                    <a:ln>
                      <a:noFill/>
                    </a:ln>
                  </pic:spPr>
                </pic:pic>
              </a:graphicData>
            </a:graphic>
          </wp:inline>
        </w:drawing>
      </w:r>
    </w:p>
    <w:p w14:paraId="6BF4B5F7" w14:textId="77777777" w:rsidR="002F3A0D" w:rsidRPr="00E23B12" w:rsidRDefault="002F3A0D" w:rsidP="00851A26">
      <w:pPr>
        <w:pStyle w:val="ListParagraph"/>
        <w:spacing w:after="0" w:line="240" w:lineRule="auto"/>
        <w:rPr>
          <w:rFonts w:ascii="Verdana" w:hAnsi="Verdana" w:cs="Arial"/>
          <w:b/>
          <w:sz w:val="24"/>
          <w:szCs w:val="24"/>
        </w:rPr>
      </w:pPr>
    </w:p>
    <w:p w14:paraId="25F5A9E3"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5C83255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2B5F2B05" w14:textId="77777777" w:rsidTr="00577535">
        <w:trPr>
          <w:trHeight w:val="876"/>
        </w:trPr>
        <w:tc>
          <w:tcPr>
            <w:tcW w:w="4111" w:type="dxa"/>
            <w:shd w:val="clear" w:color="auto" w:fill="F2F2F2" w:themeFill="background1" w:themeFillShade="F2"/>
            <w:vAlign w:val="center"/>
          </w:tcPr>
          <w:p w14:paraId="2E3C0CBD"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50C186DA"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2A6DBD3B" w14:textId="77777777" w:rsidTr="00577535">
        <w:trPr>
          <w:trHeight w:val="847"/>
        </w:trPr>
        <w:tc>
          <w:tcPr>
            <w:tcW w:w="4111" w:type="dxa"/>
            <w:shd w:val="clear" w:color="auto" w:fill="F2F2F2" w:themeFill="background1" w:themeFillShade="F2"/>
            <w:vAlign w:val="center"/>
          </w:tcPr>
          <w:p w14:paraId="7D021FC7"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558A01A3" w14:textId="77777777" w:rsidR="00C52F2D" w:rsidRPr="00E23B12" w:rsidRDefault="007E59F6"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062FA402" w14:textId="77777777" w:rsidTr="00223C86">
        <w:trPr>
          <w:trHeight w:val="787"/>
        </w:trPr>
        <w:tc>
          <w:tcPr>
            <w:tcW w:w="4111" w:type="dxa"/>
            <w:shd w:val="clear" w:color="auto" w:fill="F2F2F2" w:themeFill="background1" w:themeFillShade="F2"/>
            <w:vAlign w:val="center"/>
          </w:tcPr>
          <w:p w14:paraId="4F0153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00E5AD22" w14:textId="77777777" w:rsidR="007F0937" w:rsidRPr="00E23B12" w:rsidRDefault="0092071F"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59F6">
                  <w:rPr>
                    <w:rStyle w:val="Style32"/>
                    <w:rFonts w:ascii="Verdana" w:hAnsi="Verdana"/>
                    <w:sz w:val="24"/>
                    <w:szCs w:val="24"/>
                  </w:rPr>
                  <w:t>Not required</w:t>
                </w:r>
              </w:sdtContent>
            </w:sdt>
          </w:p>
        </w:tc>
      </w:tr>
      <w:tr w:rsidR="007F0937" w:rsidRPr="00E23B12" w14:paraId="560EAFB0" w14:textId="77777777" w:rsidTr="00577535">
        <w:trPr>
          <w:trHeight w:val="843"/>
        </w:trPr>
        <w:tc>
          <w:tcPr>
            <w:tcW w:w="4111" w:type="dxa"/>
            <w:shd w:val="clear" w:color="auto" w:fill="F2F2F2" w:themeFill="background1" w:themeFillShade="F2"/>
            <w:vAlign w:val="center"/>
          </w:tcPr>
          <w:p w14:paraId="6CB38C1C"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3F12FA07"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3AE6ADE7" w14:textId="77777777" w:rsidTr="00577535">
        <w:trPr>
          <w:trHeight w:val="831"/>
        </w:trPr>
        <w:tc>
          <w:tcPr>
            <w:tcW w:w="4111" w:type="dxa"/>
            <w:vMerge w:val="restart"/>
            <w:shd w:val="clear" w:color="auto" w:fill="F2F2F2" w:themeFill="background1" w:themeFillShade="F2"/>
            <w:vAlign w:val="center"/>
          </w:tcPr>
          <w:p w14:paraId="0C76E847" w14:textId="77777777" w:rsidR="007F0937" w:rsidRPr="00E23B12" w:rsidRDefault="005A0836" w:rsidP="00344184">
            <w:pPr>
              <w:rPr>
                <w:rFonts w:ascii="Verdana" w:hAnsi="Verdana" w:cs="Arial"/>
                <w:b/>
                <w:sz w:val="24"/>
                <w:szCs w:val="24"/>
              </w:rPr>
            </w:pPr>
            <w:r>
              <w:rPr>
                <w:rFonts w:ascii="Verdana" w:hAnsi="Verdana" w:cs="Arial"/>
                <w:b/>
                <w:sz w:val="24"/>
                <w:szCs w:val="24"/>
              </w:rPr>
              <w:lastRenderedPageBreak/>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48B9B081"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16B50DFF"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14:paraId="53F1305D" w14:textId="77777777" w:rsidTr="007F0937">
        <w:trPr>
          <w:trHeight w:val="290"/>
        </w:trPr>
        <w:tc>
          <w:tcPr>
            <w:tcW w:w="4111" w:type="dxa"/>
            <w:vMerge/>
            <w:shd w:val="clear" w:color="auto" w:fill="F2F2F2" w:themeFill="background1" w:themeFillShade="F2"/>
            <w:vAlign w:val="center"/>
          </w:tcPr>
          <w:p w14:paraId="3EAA4E96" w14:textId="77777777" w:rsidR="007F0937" w:rsidRPr="00E23B12" w:rsidRDefault="007F0937" w:rsidP="00344184">
            <w:pPr>
              <w:rPr>
                <w:rFonts w:ascii="Verdana" w:hAnsi="Verdana" w:cs="Arial"/>
                <w:b/>
                <w:sz w:val="24"/>
                <w:szCs w:val="24"/>
              </w:rPr>
            </w:pPr>
          </w:p>
        </w:tc>
        <w:tc>
          <w:tcPr>
            <w:tcW w:w="5245" w:type="dxa"/>
            <w:vAlign w:val="center"/>
          </w:tcPr>
          <w:p w14:paraId="269597E7" w14:textId="77777777" w:rsidR="007F0937" w:rsidRPr="00E23B12" w:rsidRDefault="007F0937" w:rsidP="00344184">
            <w:pPr>
              <w:jc w:val="both"/>
              <w:rPr>
                <w:rFonts w:ascii="Verdana" w:hAnsi="Verdana" w:cs="Arial"/>
                <w:sz w:val="24"/>
                <w:szCs w:val="24"/>
              </w:rPr>
            </w:pPr>
          </w:p>
        </w:tc>
      </w:tr>
      <w:tr w:rsidR="005C0676" w:rsidRPr="00E23B12" w14:paraId="4782C6B6" w14:textId="77777777" w:rsidTr="005B04B6">
        <w:trPr>
          <w:trHeight w:val="875"/>
        </w:trPr>
        <w:tc>
          <w:tcPr>
            <w:tcW w:w="4111" w:type="dxa"/>
            <w:shd w:val="clear" w:color="auto" w:fill="F2F2F2" w:themeFill="background1" w:themeFillShade="F2"/>
            <w:vAlign w:val="center"/>
          </w:tcPr>
          <w:p w14:paraId="66D94982"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38E5E561" w14:textId="77777777" w:rsidR="005C0676" w:rsidRDefault="005C0676" w:rsidP="006D7D02">
            <w:pPr>
              <w:rPr>
                <w:rFonts w:ascii="Verdana" w:hAnsi="Verdana" w:cs="Arial"/>
                <w:b/>
                <w:sz w:val="24"/>
                <w:szCs w:val="24"/>
              </w:rPr>
            </w:pPr>
          </w:p>
        </w:tc>
        <w:tc>
          <w:tcPr>
            <w:tcW w:w="5245" w:type="dxa"/>
            <w:vAlign w:val="center"/>
          </w:tcPr>
          <w:p w14:paraId="669D9C51"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B8B3AF8" w14:textId="77777777" w:rsidTr="00BB61B3">
        <w:trPr>
          <w:trHeight w:val="875"/>
        </w:trPr>
        <w:tc>
          <w:tcPr>
            <w:tcW w:w="4111" w:type="dxa"/>
            <w:shd w:val="clear" w:color="auto" w:fill="F2F2F2" w:themeFill="background1" w:themeFillShade="F2"/>
            <w:vAlign w:val="center"/>
          </w:tcPr>
          <w:p w14:paraId="7F0E148C"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5A37364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132AC9C5" w14:textId="77777777" w:rsidR="008E5494" w:rsidRDefault="007E59F6" w:rsidP="006D7D02">
                <w:pPr>
                  <w:jc w:val="both"/>
                  <w:rPr>
                    <w:rFonts w:ascii="Verdana" w:hAnsi="Verdana" w:cs="Arial"/>
                    <w:sz w:val="24"/>
                    <w:szCs w:val="24"/>
                  </w:rPr>
                </w:pPr>
                <w:r>
                  <w:rPr>
                    <w:rFonts w:ascii="Verdana" w:hAnsi="Verdana" w:cs="Arial"/>
                    <w:sz w:val="24"/>
                    <w:szCs w:val="24"/>
                  </w:rPr>
                  <w:t>ALL are relevant</w:t>
                </w:r>
              </w:p>
            </w:tc>
          </w:sdtContent>
        </w:sdt>
      </w:tr>
    </w:tbl>
    <w:p w14:paraId="576222F8" w14:textId="77777777" w:rsidR="007F0937" w:rsidRDefault="007F0937" w:rsidP="00344184">
      <w:pPr>
        <w:pStyle w:val="NoSpacing"/>
        <w:rPr>
          <w:rFonts w:ascii="Verdana" w:hAnsi="Verdana"/>
          <w:sz w:val="24"/>
          <w:szCs w:val="24"/>
        </w:rPr>
      </w:pPr>
    </w:p>
    <w:p w14:paraId="2B4BE732" w14:textId="77777777" w:rsidR="00543056" w:rsidRPr="00E23B12" w:rsidRDefault="00543056" w:rsidP="00344184">
      <w:pPr>
        <w:pStyle w:val="NoSpacing"/>
        <w:rPr>
          <w:rFonts w:ascii="Verdana" w:hAnsi="Verdana"/>
          <w:sz w:val="24"/>
          <w:szCs w:val="24"/>
        </w:rPr>
      </w:pPr>
    </w:p>
    <w:p w14:paraId="6AE46D11"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5839115F" w14:textId="77777777" w:rsidR="00344184" w:rsidRDefault="00344184" w:rsidP="00344184">
      <w:pPr>
        <w:spacing w:after="0" w:line="240" w:lineRule="auto"/>
        <w:rPr>
          <w:rFonts w:ascii="Verdana" w:hAnsi="Verdana" w:cs="Arial"/>
          <w:sz w:val="24"/>
          <w:szCs w:val="24"/>
        </w:rPr>
      </w:pPr>
    </w:p>
    <w:p w14:paraId="205C4E71" w14:textId="77777777"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The Emergency Ambulance Services Committee is asked to:</w:t>
      </w:r>
    </w:p>
    <w:p w14:paraId="103A123B" w14:textId="77777777" w:rsidR="007E59F6" w:rsidRDefault="007E59F6" w:rsidP="007E59F6">
      <w:pPr>
        <w:spacing w:after="0" w:line="240" w:lineRule="auto"/>
        <w:rPr>
          <w:rFonts w:ascii="Verdana" w:hAnsi="Verdana" w:cs="Arial"/>
          <w:sz w:val="24"/>
          <w:szCs w:val="24"/>
        </w:rPr>
      </w:pPr>
    </w:p>
    <w:p w14:paraId="0749BBB9" w14:textId="77777777" w:rsidR="0092071F" w:rsidRPr="001271E5" w:rsidRDefault="0092071F" w:rsidP="0092071F">
      <w:pPr>
        <w:pStyle w:val="ListParagraph"/>
        <w:numPr>
          <w:ilvl w:val="0"/>
          <w:numId w:val="22"/>
        </w:numPr>
        <w:spacing w:after="0" w:line="240" w:lineRule="auto"/>
        <w:rPr>
          <w:rFonts w:ascii="Verdana" w:hAnsi="Verdana" w:cs="Arial"/>
          <w:sz w:val="24"/>
          <w:szCs w:val="24"/>
        </w:rPr>
      </w:pPr>
      <w:r w:rsidRPr="001271E5">
        <w:rPr>
          <w:rFonts w:ascii="Verdana" w:hAnsi="Verdana" w:cs="Arial"/>
          <w:b/>
          <w:sz w:val="24"/>
          <w:szCs w:val="24"/>
        </w:rPr>
        <w:t xml:space="preserve">APPROVE </w:t>
      </w:r>
      <w:r w:rsidRPr="001271E5">
        <w:rPr>
          <w:rFonts w:ascii="Verdana" w:hAnsi="Verdana" w:cs="Arial"/>
          <w:sz w:val="24"/>
          <w:szCs w:val="24"/>
        </w:rPr>
        <w:t>the current financial position and forecast year-end position.</w:t>
      </w:r>
    </w:p>
    <w:p w14:paraId="2FE53A5E" w14:textId="77777777" w:rsidR="007E59F6" w:rsidRDefault="007E59F6" w:rsidP="007E59F6">
      <w:pPr>
        <w:spacing w:after="0" w:line="240" w:lineRule="auto"/>
        <w:ind w:left="720"/>
        <w:rPr>
          <w:rFonts w:ascii="Verdana" w:hAnsi="Verdana" w:cs="Arial"/>
          <w:sz w:val="24"/>
          <w:szCs w:val="24"/>
        </w:rPr>
      </w:pPr>
      <w:bookmarkStart w:id="0" w:name="_GoBack"/>
      <w:bookmarkEnd w:id="0"/>
    </w:p>
    <w:p w14:paraId="294FD2E5" w14:textId="77777777" w:rsidR="00372B54" w:rsidRDefault="00372B54" w:rsidP="00372B54">
      <w:pPr>
        <w:pStyle w:val="ListParagraph"/>
        <w:numPr>
          <w:ilvl w:val="0"/>
          <w:numId w:val="1"/>
        </w:numPr>
        <w:spacing w:after="0" w:line="240" w:lineRule="auto"/>
        <w:rPr>
          <w:rFonts w:ascii="Verdana" w:hAnsi="Verdana" w:cs="Arial"/>
          <w:b/>
          <w:sz w:val="24"/>
          <w:szCs w:val="24"/>
        </w:rPr>
      </w:pPr>
      <w:r w:rsidRPr="00372B54">
        <w:rPr>
          <w:rFonts w:ascii="Verdana" w:hAnsi="Verdana" w:cs="Arial"/>
          <w:b/>
          <w:sz w:val="24"/>
          <w:szCs w:val="24"/>
        </w:rPr>
        <w:t>Confirmation of position report by the MD and DOF:</w:t>
      </w:r>
      <w:r w:rsidRPr="00E23B12">
        <w:rPr>
          <w:rFonts w:ascii="Verdana" w:hAnsi="Verdana" w:cs="Arial"/>
          <w:b/>
          <w:sz w:val="24"/>
          <w:szCs w:val="24"/>
        </w:rPr>
        <w:t xml:space="preserve"> </w:t>
      </w:r>
    </w:p>
    <w:p w14:paraId="765A7268" w14:textId="77777777" w:rsidR="00372B54" w:rsidRDefault="00372B54" w:rsidP="00372B54">
      <w:pPr>
        <w:spacing w:after="0" w:line="240" w:lineRule="auto"/>
        <w:rPr>
          <w:rFonts w:ascii="Verdana" w:hAnsi="Verdana" w:cs="Arial"/>
          <w:b/>
          <w:sz w:val="24"/>
          <w:szCs w:val="24"/>
        </w:rPr>
      </w:pPr>
    </w:p>
    <w:p w14:paraId="1B493AEA" w14:textId="73E5B210" w:rsidR="008A3D7E" w:rsidRDefault="00587D93" w:rsidP="00372B54">
      <w:pPr>
        <w:spacing w:after="0" w:line="240" w:lineRule="auto"/>
        <w:rPr>
          <w:rFonts w:ascii="Verdana" w:hAnsi="Verdana" w:cs="Arial"/>
          <w:b/>
          <w:sz w:val="24"/>
          <w:szCs w:val="24"/>
        </w:rPr>
      </w:pPr>
      <w:r>
        <w:rPr>
          <w:rFonts w:cs="Arial"/>
        </w:rPr>
        <w:object w:dxaOrig="5941" w:dyaOrig="2115" w14:anchorId="452BF3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0pt;height:36pt" o:ole="">
            <v:imagedata r:id="rId17" o:title=""/>
          </v:shape>
          <o:OLEObject Type="Embed" ProgID="MSPhotoEd.3" ShapeID="_x0000_i1025" DrawAspect="Content" ObjectID="_1697531515" r:id="rId18"/>
        </w:object>
      </w:r>
    </w:p>
    <w:p w14:paraId="37ED77AE" w14:textId="570CF957" w:rsidR="00372B54" w:rsidRDefault="00372B54" w:rsidP="00372B54">
      <w:pPr>
        <w:spacing w:after="0" w:line="240" w:lineRule="auto"/>
        <w:rPr>
          <w:rFonts w:ascii="Verdana" w:hAnsi="Verdana" w:cs="Arial"/>
          <w:b/>
          <w:sz w:val="24"/>
          <w:szCs w:val="24"/>
        </w:rPr>
      </w:pPr>
    </w:p>
    <w:p w14:paraId="412D1DB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Stuart Davies,</w:t>
      </w:r>
    </w:p>
    <w:p w14:paraId="7ADA2ABB" w14:textId="77777777" w:rsid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Director of Finance, EASC and WHSSC</w:t>
      </w:r>
    </w:p>
    <w:p w14:paraId="1EA630B0" w14:textId="77777777" w:rsidR="00372B54" w:rsidRDefault="00372B54" w:rsidP="00372B54">
      <w:pPr>
        <w:spacing w:after="0" w:line="240" w:lineRule="auto"/>
        <w:rPr>
          <w:rFonts w:ascii="Verdana" w:hAnsi="Verdana" w:cs="Arial"/>
          <w:b/>
          <w:sz w:val="24"/>
          <w:szCs w:val="24"/>
        </w:rPr>
      </w:pPr>
    </w:p>
    <w:p w14:paraId="37E2208F" w14:textId="31A572C8" w:rsidR="00372B54" w:rsidRDefault="00372B54" w:rsidP="00372B54">
      <w:pPr>
        <w:spacing w:after="0" w:line="240" w:lineRule="auto"/>
        <w:rPr>
          <w:rFonts w:ascii="Verdana" w:hAnsi="Verdana" w:cs="Arial"/>
          <w:b/>
          <w:sz w:val="24"/>
          <w:szCs w:val="24"/>
        </w:rPr>
      </w:pPr>
    </w:p>
    <w:p w14:paraId="33312245" w14:textId="505925A8" w:rsidR="008A3D7E" w:rsidRDefault="007E6692" w:rsidP="00372B54">
      <w:pPr>
        <w:spacing w:after="0" w:line="240" w:lineRule="auto"/>
        <w:rPr>
          <w:rFonts w:ascii="Verdana" w:hAnsi="Verdana" w:cs="Arial"/>
          <w:b/>
          <w:sz w:val="24"/>
          <w:szCs w:val="24"/>
        </w:rPr>
      </w:pPr>
      <w:r>
        <w:rPr>
          <w:rFonts w:ascii="Arial" w:hAnsi="Arial" w:cs="Arial"/>
          <w:noProof/>
          <w:color w:val="1F497D"/>
          <w:sz w:val="20"/>
          <w:szCs w:val="20"/>
          <w:lang w:val="en-GB" w:eastAsia="en-GB"/>
        </w:rPr>
        <w:drawing>
          <wp:inline distT="0" distB="0" distL="0" distR="0" wp14:anchorId="07067999" wp14:editId="1E7394B6">
            <wp:extent cx="1257300" cy="495300"/>
            <wp:effectExtent l="0" t="0" r="0" b="0"/>
            <wp:docPr id="6" name="Picture 6" descr="cid:image005.png@01D686B5.084F8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5.png@01D686B5.084F8500"/>
                    <pic:cNvPicPr>
                      <a:picLocks noChangeAspect="1" noChangeArrowheads="1"/>
                    </pic:cNvPicPr>
                  </pic:nvPicPr>
                  <pic:blipFill>
                    <a:blip r:embed="rId19" r:link="rId20">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p>
    <w:p w14:paraId="3E31AF1E" w14:textId="77777777" w:rsidR="00372B54" w:rsidRDefault="00372B54" w:rsidP="00372B54">
      <w:pPr>
        <w:spacing w:after="0" w:line="240" w:lineRule="auto"/>
        <w:rPr>
          <w:rFonts w:ascii="Verdana" w:hAnsi="Verdana" w:cs="Arial"/>
          <w:b/>
          <w:sz w:val="24"/>
          <w:szCs w:val="24"/>
        </w:rPr>
      </w:pPr>
    </w:p>
    <w:p w14:paraId="1317E59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Stephen Harrhy,</w:t>
      </w:r>
    </w:p>
    <w:p w14:paraId="3D1C423C" w14:textId="0147442A" w:rsidR="007E59F6" w:rsidRPr="007E59F6" w:rsidRDefault="00372B54" w:rsidP="00851A26">
      <w:pPr>
        <w:spacing w:after="0" w:line="240" w:lineRule="auto"/>
        <w:rPr>
          <w:rFonts w:ascii="Verdana" w:hAnsi="Verdana" w:cs="Arial"/>
          <w:sz w:val="24"/>
          <w:szCs w:val="24"/>
        </w:rPr>
      </w:pPr>
      <w:r w:rsidRPr="00372B54">
        <w:rPr>
          <w:rFonts w:ascii="Verdana" w:hAnsi="Verdana" w:cs="Arial"/>
          <w:b/>
          <w:sz w:val="24"/>
          <w:szCs w:val="24"/>
        </w:rPr>
        <w:t>Chief Ambulance Commissioner, EASC</w:t>
      </w:r>
    </w:p>
    <w:sectPr w:rsidR="007E59F6" w:rsidRPr="007E59F6" w:rsidSect="00BA1AF1">
      <w:headerReference w:type="default" r:id="rId21"/>
      <w:footerReference w:type="default" r:id="rId22"/>
      <w:headerReference w:type="first" r:id="rId2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95BEA7" w14:textId="77777777" w:rsidR="006C53DA" w:rsidRDefault="006C53DA" w:rsidP="003E43AD">
      <w:pPr>
        <w:spacing w:after="0" w:line="240" w:lineRule="auto"/>
      </w:pPr>
      <w:r>
        <w:separator/>
      </w:r>
    </w:p>
  </w:endnote>
  <w:endnote w:type="continuationSeparator" w:id="0">
    <w:p w14:paraId="740EA2F8" w14:textId="77777777"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4211CF"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5AD07706" w14:textId="77777777" w:rsidTr="001750A0">
      <w:tc>
        <w:tcPr>
          <w:tcW w:w="4400" w:type="dxa"/>
        </w:tcPr>
        <w:p w14:paraId="10B229DD" w14:textId="649015EF" w:rsidR="00344184" w:rsidRPr="00933C80" w:rsidRDefault="00C61733">
          <w:pPr>
            <w:pStyle w:val="Footer"/>
            <w:rPr>
              <w:rFonts w:ascii="Verdana" w:hAnsi="Verdana"/>
              <w:b/>
              <w:sz w:val="18"/>
              <w:szCs w:val="20"/>
            </w:rPr>
          </w:pPr>
          <w:r w:rsidRPr="00CE462C">
            <w:rPr>
              <w:rFonts w:ascii="Verdana" w:hAnsi="Verdana"/>
              <w:b/>
              <w:sz w:val="18"/>
              <w:szCs w:val="20"/>
            </w:rPr>
            <w:t>Financial Performance Report – EASC</w:t>
          </w:r>
          <w:r>
            <w:rPr>
              <w:rFonts w:ascii="Verdana" w:hAnsi="Verdana"/>
              <w:color w:val="FF0000"/>
              <w:sz w:val="18"/>
              <w:szCs w:val="18"/>
            </w:rPr>
            <w:t xml:space="preserve"> </w:t>
          </w:r>
          <w:r w:rsidR="00EC5D56">
            <w:rPr>
              <w:rFonts w:ascii="Verdana" w:hAnsi="Verdana"/>
              <w:b/>
              <w:sz w:val="18"/>
              <w:szCs w:val="20"/>
            </w:rPr>
            <w:t>M</w:t>
          </w:r>
          <w:r w:rsidR="00A50A51">
            <w:rPr>
              <w:rFonts w:ascii="Verdana" w:hAnsi="Verdana"/>
              <w:b/>
              <w:sz w:val="18"/>
              <w:szCs w:val="20"/>
            </w:rPr>
            <w:t>6</w:t>
          </w:r>
          <w:r w:rsidR="00EC5D56">
            <w:rPr>
              <w:rFonts w:ascii="Verdana" w:hAnsi="Verdana"/>
              <w:b/>
              <w:sz w:val="18"/>
              <w:szCs w:val="20"/>
            </w:rPr>
            <w:t xml:space="preserve"> 202</w:t>
          </w:r>
          <w:r w:rsidR="00722A5A">
            <w:rPr>
              <w:rFonts w:ascii="Verdana" w:hAnsi="Verdana"/>
              <w:b/>
              <w:sz w:val="18"/>
              <w:szCs w:val="20"/>
            </w:rPr>
            <w:t>1</w:t>
          </w:r>
          <w:r w:rsidR="00EC5D56">
            <w:rPr>
              <w:rFonts w:ascii="Verdana" w:hAnsi="Verdana"/>
              <w:b/>
              <w:sz w:val="18"/>
              <w:szCs w:val="20"/>
            </w:rPr>
            <w:t>/2</w:t>
          </w:r>
          <w:r w:rsidR="00722A5A">
            <w:rPr>
              <w:rFonts w:ascii="Verdana" w:hAnsi="Verdana"/>
              <w:b/>
              <w:sz w:val="18"/>
              <w:szCs w:val="20"/>
            </w:rPr>
            <w:t>2</w:t>
          </w:r>
        </w:p>
      </w:tc>
      <w:tc>
        <w:tcPr>
          <w:tcW w:w="1980" w:type="dxa"/>
        </w:tcPr>
        <w:p w14:paraId="1DFCB9D6" w14:textId="7E9C1DCA" w:rsidR="00344184" w:rsidRPr="00933C80" w:rsidRDefault="0092071F"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7</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8</w:t>
              </w:r>
              <w:r w:rsidR="00344184" w:rsidRPr="00933C80">
                <w:rPr>
                  <w:rFonts w:ascii="Verdana" w:hAnsi="Verdana" w:cs="Arial"/>
                  <w:b/>
                  <w:bCs/>
                  <w:sz w:val="18"/>
                  <w:szCs w:val="20"/>
                </w:rPr>
                <w:fldChar w:fldCharType="end"/>
              </w:r>
            </w:sdtContent>
          </w:sdt>
        </w:p>
      </w:tc>
      <w:tc>
        <w:tcPr>
          <w:tcW w:w="5103" w:type="dxa"/>
        </w:tcPr>
        <w:p w14:paraId="484F196B" w14:textId="77777777" w:rsidR="00621C4A" w:rsidRDefault="00933C80" w:rsidP="00621C4A">
          <w:pPr>
            <w:pStyle w:val="Footer"/>
            <w:jc w:val="right"/>
            <w:rPr>
              <w:rFonts w:ascii="Verdana" w:hAnsi="Verdana"/>
              <w:b/>
              <w:sz w:val="18"/>
              <w:szCs w:val="20"/>
            </w:rPr>
          </w:pPr>
          <w:r w:rsidRPr="00933C80">
            <w:rPr>
              <w:rFonts w:ascii="Verdana" w:hAnsi="Verdana"/>
              <w:b/>
              <w:sz w:val="18"/>
              <w:szCs w:val="20"/>
            </w:rPr>
            <w:t>Emergency Ambulance S</w:t>
          </w:r>
          <w:r w:rsidR="00621C4A">
            <w:rPr>
              <w:rFonts w:ascii="Verdana" w:hAnsi="Verdana"/>
              <w:b/>
              <w:sz w:val="18"/>
              <w:szCs w:val="20"/>
            </w:rPr>
            <w:t>ervices Committee</w:t>
          </w:r>
        </w:p>
        <w:p w14:paraId="28D6FDB9" w14:textId="6D54A32F" w:rsidR="00933C80" w:rsidRPr="00933C80" w:rsidRDefault="00621C4A" w:rsidP="00621C4A">
          <w:pPr>
            <w:pStyle w:val="Footer"/>
            <w:jc w:val="right"/>
            <w:rPr>
              <w:rFonts w:ascii="Verdana" w:hAnsi="Verdana"/>
              <w:b/>
              <w:sz w:val="18"/>
              <w:szCs w:val="20"/>
            </w:rPr>
          </w:pPr>
          <w:r>
            <w:rPr>
              <w:rFonts w:ascii="Verdana" w:hAnsi="Verdana"/>
              <w:b/>
              <w:sz w:val="18"/>
              <w:szCs w:val="20"/>
            </w:rPr>
            <w:t xml:space="preserve">9 November </w:t>
          </w:r>
          <w:r w:rsidR="00851A26">
            <w:rPr>
              <w:rFonts w:ascii="Verdana" w:hAnsi="Verdana"/>
              <w:b/>
              <w:sz w:val="18"/>
              <w:szCs w:val="20"/>
            </w:rPr>
            <w:t>2021</w:t>
          </w:r>
        </w:p>
      </w:tc>
    </w:tr>
  </w:tbl>
  <w:p w14:paraId="0A7312B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362581" w14:textId="77777777" w:rsidR="006C53DA" w:rsidRDefault="006C53DA" w:rsidP="003E43AD">
      <w:pPr>
        <w:spacing w:after="0" w:line="240" w:lineRule="auto"/>
      </w:pPr>
      <w:r>
        <w:separator/>
      </w:r>
    </w:p>
  </w:footnote>
  <w:footnote w:type="continuationSeparator" w:id="0">
    <w:p w14:paraId="28A1DC18" w14:textId="77777777"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4E41CD" w14:textId="77777777" w:rsidR="006C53DA" w:rsidRDefault="00933C80" w:rsidP="00345EE2">
    <w:pPr>
      <w:pStyle w:val="Header"/>
      <w:jc w:val="center"/>
    </w:pPr>
    <w:r w:rsidRPr="00E4493C">
      <w:rPr>
        <w:noProof/>
        <w:color w:val="000000"/>
        <w:lang w:val="en-GB" w:eastAsia="en-GB"/>
      </w:rPr>
      <w:drawing>
        <wp:inline distT="0" distB="0" distL="0" distR="0" wp14:anchorId="61CA86A2" wp14:editId="319BEB17">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3F2FE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140A3F" w14:textId="77777777" w:rsidR="006C53DA" w:rsidRDefault="008508A8" w:rsidP="00345EE2">
    <w:pPr>
      <w:pStyle w:val="Header"/>
      <w:jc w:val="center"/>
    </w:pPr>
    <w:r w:rsidRPr="00E4493C">
      <w:rPr>
        <w:noProof/>
        <w:color w:val="000000"/>
        <w:lang w:val="en-GB" w:eastAsia="en-GB"/>
      </w:rPr>
      <w:drawing>
        <wp:inline distT="0" distB="0" distL="0" distR="0" wp14:anchorId="45969CF5" wp14:editId="3E104769">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1DA0ADA"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20AC2EFA"/>
    <w:multiLevelType w:val="hybridMultilevel"/>
    <w:tmpl w:val="6C38346A"/>
    <w:lvl w:ilvl="0" w:tplc="0B3662CA">
      <w:numFmt w:val="bullet"/>
      <w:lvlText w:val="-"/>
      <w:lvlJc w:val="left"/>
      <w:pPr>
        <w:ind w:left="1080" w:hanging="360"/>
      </w:pPr>
      <w:rPr>
        <w:rFonts w:ascii="Verdana" w:eastAsiaTheme="minorHAnsi" w:hAnsi="Verdana"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0"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50C60B77"/>
    <w:multiLevelType w:val="hybridMultilevel"/>
    <w:tmpl w:val="0A3E71CE"/>
    <w:lvl w:ilvl="0" w:tplc="65B65866">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2FE70A5"/>
    <w:multiLevelType w:val="hybridMultilevel"/>
    <w:tmpl w:val="7974B29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C2314B3"/>
    <w:multiLevelType w:val="hybridMultilevel"/>
    <w:tmpl w:val="B072BA24"/>
    <w:lvl w:ilvl="0" w:tplc="F4EEE034">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21"/>
  </w:num>
  <w:num w:numId="3">
    <w:abstractNumId w:val="19"/>
  </w:num>
  <w:num w:numId="4">
    <w:abstractNumId w:val="18"/>
  </w:num>
  <w:num w:numId="5">
    <w:abstractNumId w:val="8"/>
  </w:num>
  <w:num w:numId="6">
    <w:abstractNumId w:val="4"/>
  </w:num>
  <w:num w:numId="7">
    <w:abstractNumId w:val="9"/>
  </w:num>
  <w:num w:numId="8">
    <w:abstractNumId w:val="6"/>
  </w:num>
  <w:num w:numId="9">
    <w:abstractNumId w:val="1"/>
  </w:num>
  <w:num w:numId="10">
    <w:abstractNumId w:val="14"/>
  </w:num>
  <w:num w:numId="11">
    <w:abstractNumId w:val="2"/>
  </w:num>
  <w:num w:numId="12">
    <w:abstractNumId w:val="17"/>
  </w:num>
  <w:num w:numId="13">
    <w:abstractNumId w:val="10"/>
  </w:num>
  <w:num w:numId="14">
    <w:abstractNumId w:val="12"/>
  </w:num>
  <w:num w:numId="15">
    <w:abstractNumId w:val="0"/>
  </w:num>
  <w:num w:numId="16">
    <w:abstractNumId w:val="3"/>
  </w:num>
  <w:num w:numId="17">
    <w:abstractNumId w:val="16"/>
  </w:num>
  <w:num w:numId="18">
    <w:abstractNumId w:val="11"/>
  </w:num>
  <w:num w:numId="19">
    <w:abstractNumId w:val="13"/>
  </w:num>
  <w:num w:numId="20">
    <w:abstractNumId w:val="20"/>
  </w:num>
  <w:num w:numId="21">
    <w:abstractNumId w:val="5"/>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1474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25FE7"/>
    <w:rsid w:val="0003001C"/>
    <w:rsid w:val="00034B97"/>
    <w:rsid w:val="00043C7A"/>
    <w:rsid w:val="00063FCF"/>
    <w:rsid w:val="000804F4"/>
    <w:rsid w:val="00081198"/>
    <w:rsid w:val="00081F19"/>
    <w:rsid w:val="00082004"/>
    <w:rsid w:val="00097B17"/>
    <w:rsid w:val="000A14EC"/>
    <w:rsid w:val="000B4302"/>
    <w:rsid w:val="000C1B75"/>
    <w:rsid w:val="000D248E"/>
    <w:rsid w:val="000F26AC"/>
    <w:rsid w:val="001028EC"/>
    <w:rsid w:val="001041A8"/>
    <w:rsid w:val="001468E1"/>
    <w:rsid w:val="001507F6"/>
    <w:rsid w:val="001750A0"/>
    <w:rsid w:val="0019519C"/>
    <w:rsid w:val="001B439D"/>
    <w:rsid w:val="001D08F5"/>
    <w:rsid w:val="001D6AD7"/>
    <w:rsid w:val="001E4F67"/>
    <w:rsid w:val="00223C86"/>
    <w:rsid w:val="002338B8"/>
    <w:rsid w:val="0025429D"/>
    <w:rsid w:val="00261366"/>
    <w:rsid w:val="00265AAD"/>
    <w:rsid w:val="00281D69"/>
    <w:rsid w:val="002839C3"/>
    <w:rsid w:val="002B5D2A"/>
    <w:rsid w:val="002D02D2"/>
    <w:rsid w:val="002F3A0D"/>
    <w:rsid w:val="00301F07"/>
    <w:rsid w:val="00304120"/>
    <w:rsid w:val="003169A9"/>
    <w:rsid w:val="003253AD"/>
    <w:rsid w:val="00325A46"/>
    <w:rsid w:val="00344184"/>
    <w:rsid w:val="00345653"/>
    <w:rsid w:val="00345EE2"/>
    <w:rsid w:val="003718C6"/>
    <w:rsid w:val="00372550"/>
    <w:rsid w:val="00372B54"/>
    <w:rsid w:val="00380B51"/>
    <w:rsid w:val="003C4CCD"/>
    <w:rsid w:val="003C5D58"/>
    <w:rsid w:val="003E2FB0"/>
    <w:rsid w:val="003E43AD"/>
    <w:rsid w:val="003F40A1"/>
    <w:rsid w:val="0041542C"/>
    <w:rsid w:val="0046035B"/>
    <w:rsid w:val="00463B6C"/>
    <w:rsid w:val="00493CD8"/>
    <w:rsid w:val="004A1B43"/>
    <w:rsid w:val="004A3AE2"/>
    <w:rsid w:val="004B1B0B"/>
    <w:rsid w:val="004C5E11"/>
    <w:rsid w:val="004C7B5E"/>
    <w:rsid w:val="004D4D0B"/>
    <w:rsid w:val="004F3890"/>
    <w:rsid w:val="0050158E"/>
    <w:rsid w:val="00510740"/>
    <w:rsid w:val="00542DD0"/>
    <w:rsid w:val="00543056"/>
    <w:rsid w:val="00547FA5"/>
    <w:rsid w:val="0056600B"/>
    <w:rsid w:val="00577535"/>
    <w:rsid w:val="005802A6"/>
    <w:rsid w:val="005848A6"/>
    <w:rsid w:val="00587D93"/>
    <w:rsid w:val="00594A95"/>
    <w:rsid w:val="005A0836"/>
    <w:rsid w:val="005A0E27"/>
    <w:rsid w:val="005C0676"/>
    <w:rsid w:val="005E14D3"/>
    <w:rsid w:val="005F08E9"/>
    <w:rsid w:val="005F33C5"/>
    <w:rsid w:val="005F7CB1"/>
    <w:rsid w:val="00612035"/>
    <w:rsid w:val="006147EB"/>
    <w:rsid w:val="00621C4A"/>
    <w:rsid w:val="00623494"/>
    <w:rsid w:val="00634623"/>
    <w:rsid w:val="00652117"/>
    <w:rsid w:val="00653C04"/>
    <w:rsid w:val="006617E2"/>
    <w:rsid w:val="006733AE"/>
    <w:rsid w:val="00675E1B"/>
    <w:rsid w:val="006802A0"/>
    <w:rsid w:val="0069470A"/>
    <w:rsid w:val="006964F1"/>
    <w:rsid w:val="006A3CE4"/>
    <w:rsid w:val="006A582D"/>
    <w:rsid w:val="006A60C7"/>
    <w:rsid w:val="006A7DA6"/>
    <w:rsid w:val="006B1F5F"/>
    <w:rsid w:val="006C3C79"/>
    <w:rsid w:val="006C4A3E"/>
    <w:rsid w:val="006C53DA"/>
    <w:rsid w:val="006D7D02"/>
    <w:rsid w:val="00722A5A"/>
    <w:rsid w:val="00723BF8"/>
    <w:rsid w:val="0073656F"/>
    <w:rsid w:val="00737E25"/>
    <w:rsid w:val="00747CDC"/>
    <w:rsid w:val="007563F7"/>
    <w:rsid w:val="00757E24"/>
    <w:rsid w:val="007724F5"/>
    <w:rsid w:val="0079542C"/>
    <w:rsid w:val="007B2006"/>
    <w:rsid w:val="007B2F89"/>
    <w:rsid w:val="007C0506"/>
    <w:rsid w:val="007D0B6E"/>
    <w:rsid w:val="007D3C6E"/>
    <w:rsid w:val="007E59F6"/>
    <w:rsid w:val="007E6692"/>
    <w:rsid w:val="007F0937"/>
    <w:rsid w:val="00816502"/>
    <w:rsid w:val="00822A00"/>
    <w:rsid w:val="0083034D"/>
    <w:rsid w:val="008508A8"/>
    <w:rsid w:val="00851A26"/>
    <w:rsid w:val="00861CE5"/>
    <w:rsid w:val="008641AF"/>
    <w:rsid w:val="008713AB"/>
    <w:rsid w:val="00875943"/>
    <w:rsid w:val="008A2830"/>
    <w:rsid w:val="008A2B46"/>
    <w:rsid w:val="008A3D7E"/>
    <w:rsid w:val="008B23BA"/>
    <w:rsid w:val="008B2A58"/>
    <w:rsid w:val="008C3F1D"/>
    <w:rsid w:val="008E5494"/>
    <w:rsid w:val="008F13FD"/>
    <w:rsid w:val="008F1E88"/>
    <w:rsid w:val="009035AC"/>
    <w:rsid w:val="00906D9A"/>
    <w:rsid w:val="0092071F"/>
    <w:rsid w:val="00925EEC"/>
    <w:rsid w:val="00927D8A"/>
    <w:rsid w:val="00933C80"/>
    <w:rsid w:val="00937F07"/>
    <w:rsid w:val="0097572A"/>
    <w:rsid w:val="00980091"/>
    <w:rsid w:val="00994D8D"/>
    <w:rsid w:val="0099687F"/>
    <w:rsid w:val="009A3FDB"/>
    <w:rsid w:val="009B6215"/>
    <w:rsid w:val="009F698B"/>
    <w:rsid w:val="00A3172B"/>
    <w:rsid w:val="00A50A51"/>
    <w:rsid w:val="00A51464"/>
    <w:rsid w:val="00A72602"/>
    <w:rsid w:val="00A82F50"/>
    <w:rsid w:val="00A839D2"/>
    <w:rsid w:val="00A8686B"/>
    <w:rsid w:val="00AD63D9"/>
    <w:rsid w:val="00B03E75"/>
    <w:rsid w:val="00B05FE3"/>
    <w:rsid w:val="00B13942"/>
    <w:rsid w:val="00B276ED"/>
    <w:rsid w:val="00B33FC6"/>
    <w:rsid w:val="00B423F3"/>
    <w:rsid w:val="00B434EC"/>
    <w:rsid w:val="00B6264F"/>
    <w:rsid w:val="00B62DCA"/>
    <w:rsid w:val="00BA0224"/>
    <w:rsid w:val="00BA1AF1"/>
    <w:rsid w:val="00BF4525"/>
    <w:rsid w:val="00C044D6"/>
    <w:rsid w:val="00C31D78"/>
    <w:rsid w:val="00C41AFC"/>
    <w:rsid w:val="00C45E2D"/>
    <w:rsid w:val="00C52F2D"/>
    <w:rsid w:val="00C61733"/>
    <w:rsid w:val="00CA374F"/>
    <w:rsid w:val="00CA40F1"/>
    <w:rsid w:val="00CA5DD0"/>
    <w:rsid w:val="00CB6426"/>
    <w:rsid w:val="00CB7D49"/>
    <w:rsid w:val="00CC6203"/>
    <w:rsid w:val="00CE2C60"/>
    <w:rsid w:val="00CE462C"/>
    <w:rsid w:val="00D002A2"/>
    <w:rsid w:val="00D03A9E"/>
    <w:rsid w:val="00D149FF"/>
    <w:rsid w:val="00D221CF"/>
    <w:rsid w:val="00D227B8"/>
    <w:rsid w:val="00D50D29"/>
    <w:rsid w:val="00D531C1"/>
    <w:rsid w:val="00D81EAE"/>
    <w:rsid w:val="00DA7EF2"/>
    <w:rsid w:val="00DB7FCB"/>
    <w:rsid w:val="00DC0AB8"/>
    <w:rsid w:val="00DC3B4C"/>
    <w:rsid w:val="00E14B00"/>
    <w:rsid w:val="00E23B12"/>
    <w:rsid w:val="00E355DB"/>
    <w:rsid w:val="00E4797B"/>
    <w:rsid w:val="00E55D6E"/>
    <w:rsid w:val="00E62C72"/>
    <w:rsid w:val="00E63380"/>
    <w:rsid w:val="00E65705"/>
    <w:rsid w:val="00E90D9F"/>
    <w:rsid w:val="00E961C0"/>
    <w:rsid w:val="00EA7C24"/>
    <w:rsid w:val="00EC0959"/>
    <w:rsid w:val="00EC35CA"/>
    <w:rsid w:val="00EC5D56"/>
    <w:rsid w:val="00EE4BD0"/>
    <w:rsid w:val="00F01092"/>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7457"/>
    <o:shapelayout v:ext="edit">
      <o:idmap v:ext="edit" data="1"/>
    </o:shapelayout>
  </w:shapeDefaults>
  <w:decimalSymbol w:val="."/>
  <w:listSeparator w:val=","/>
  <w14:docId w14:val="67701D0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491418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73218191">
      <w:bodyDiv w:val="1"/>
      <w:marLeft w:val="0"/>
      <w:marRight w:val="0"/>
      <w:marTop w:val="0"/>
      <w:marBottom w:val="0"/>
      <w:divBdr>
        <w:top w:val="none" w:sz="0" w:space="0" w:color="auto"/>
        <w:left w:val="none" w:sz="0" w:space="0" w:color="auto"/>
        <w:bottom w:val="none" w:sz="0" w:space="0" w:color="auto"/>
        <w:right w:val="none" w:sz="0" w:space="0" w:color="auto"/>
      </w:divBdr>
    </w:div>
    <w:div w:id="757024174">
      <w:bodyDiv w:val="1"/>
      <w:marLeft w:val="0"/>
      <w:marRight w:val="0"/>
      <w:marTop w:val="0"/>
      <w:marBottom w:val="0"/>
      <w:divBdr>
        <w:top w:val="none" w:sz="0" w:space="0" w:color="auto"/>
        <w:left w:val="none" w:sz="0" w:space="0" w:color="auto"/>
        <w:bottom w:val="none" w:sz="0" w:space="0" w:color="auto"/>
        <w:right w:val="none" w:sz="0" w:space="0" w:color="auto"/>
      </w:divBdr>
    </w:div>
    <w:div w:id="757215083">
      <w:bodyDiv w:val="1"/>
      <w:marLeft w:val="0"/>
      <w:marRight w:val="0"/>
      <w:marTop w:val="0"/>
      <w:marBottom w:val="0"/>
      <w:divBdr>
        <w:top w:val="none" w:sz="0" w:space="0" w:color="auto"/>
        <w:left w:val="none" w:sz="0" w:space="0" w:color="auto"/>
        <w:bottom w:val="none" w:sz="0" w:space="0" w:color="auto"/>
        <w:right w:val="none" w:sz="0" w:space="0" w:color="auto"/>
      </w:divBdr>
    </w:div>
    <w:div w:id="1095445374">
      <w:bodyDiv w:val="1"/>
      <w:marLeft w:val="0"/>
      <w:marRight w:val="0"/>
      <w:marTop w:val="0"/>
      <w:marBottom w:val="0"/>
      <w:divBdr>
        <w:top w:val="none" w:sz="0" w:space="0" w:color="auto"/>
        <w:left w:val="none" w:sz="0" w:space="0" w:color="auto"/>
        <w:bottom w:val="none" w:sz="0" w:space="0" w:color="auto"/>
        <w:right w:val="none" w:sz="0" w:space="0" w:color="auto"/>
      </w:divBdr>
    </w:div>
    <w:div w:id="1098528716">
      <w:bodyDiv w:val="1"/>
      <w:marLeft w:val="0"/>
      <w:marRight w:val="0"/>
      <w:marTop w:val="0"/>
      <w:marBottom w:val="0"/>
      <w:divBdr>
        <w:top w:val="none" w:sz="0" w:space="0" w:color="auto"/>
        <w:left w:val="none" w:sz="0" w:space="0" w:color="auto"/>
        <w:bottom w:val="none" w:sz="0" w:space="0" w:color="auto"/>
        <w:right w:val="none" w:sz="0" w:space="0" w:color="auto"/>
      </w:divBdr>
    </w:div>
    <w:div w:id="1922911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oleObject" Target="embeddings/oleObject1.bin"/><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7.png"/><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image" Target="cid:image005.png@01D686B5.084F8500"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9.jpeg"/></Relationships>
</file>

<file path=word/_rels/header2.xml.rels><?xml version="1.0" encoding="UTF-8" standalone="yes"?>
<Relationships xmlns="http://schemas.openxmlformats.org/package/2006/relationships"><Relationship Id="rId1" Type="http://schemas.openxmlformats.org/officeDocument/2006/relationships/image" Target="media/image9.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www.w3.org/XML/1998/namespace"/>
    <ds:schemaRef ds:uri="http://schemas.microsoft.com/office/2006/metadata/properties"/>
    <ds:schemaRef ds:uri="http://purl.org/dc/elements/1.1/"/>
    <ds:schemaRef ds:uri="177bb0a3-dcc7-4901-83ce-2bae23594b2a"/>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dcmitype/"/>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62224EF-AA28-4B98-83D0-B0780D8A61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Pages>
  <Words>1210</Words>
  <Characters>6898</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Matthew Edwards (CTM UHB - NCCU - Emergency Ambulance Services Team)</cp:lastModifiedBy>
  <cp:revision>4</cp:revision>
  <cp:lastPrinted>2018-09-26T14:48:00Z</cp:lastPrinted>
  <dcterms:created xsi:type="dcterms:W3CDTF">2021-11-03T16:49:00Z</dcterms:created>
  <dcterms:modified xsi:type="dcterms:W3CDTF">2021-11-04T11:46:00Z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