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0758C24E" w:rsidR="00BA1AF1" w:rsidRPr="00BA1AF1" w:rsidRDefault="00102869" w:rsidP="00401B44">
            <w:pPr>
              <w:jc w:val="center"/>
              <w:rPr>
                <w:rFonts w:ascii="Verdana" w:hAnsi="Verdana"/>
                <w:sz w:val="24"/>
                <w:szCs w:val="24"/>
              </w:rPr>
            </w:pPr>
            <w:r>
              <w:rPr>
                <w:rFonts w:ascii="Verdana" w:hAnsi="Verdana"/>
                <w:sz w:val="24"/>
                <w:szCs w:val="24"/>
              </w:rPr>
              <w:t>2.1</w:t>
            </w:r>
            <w:r w:rsidR="00D655F4">
              <w:rPr>
                <w:rFonts w:ascii="Verdana" w:hAnsi="Verdana"/>
                <w:sz w:val="24"/>
                <w:szCs w:val="24"/>
              </w:rPr>
              <w:t>0</w:t>
            </w:r>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1738113C" w14:textId="57BD544A" w:rsidR="002D02D2" w:rsidRPr="00E23B12" w:rsidRDefault="00E86188" w:rsidP="00CE7B12">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4EE98CE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w:t>
            </w:r>
            <w:r w:rsidR="00E86188">
              <w:rPr>
                <w:rFonts w:ascii="Verdana" w:hAnsi="Verdana" w:cs="Arial"/>
                <w:b/>
                <w:color w:val="000000" w:themeColor="text1"/>
                <w:sz w:val="24"/>
                <w:szCs w:val="24"/>
              </w:rPr>
              <w:t xml:space="preserve"> GOVERNANCE INCLUDING</w:t>
            </w:r>
            <w:r>
              <w:rPr>
                <w:rFonts w:ascii="Verdana" w:hAnsi="Verdana" w:cs="Arial"/>
                <w:b/>
                <w:color w:val="000000" w:themeColor="text1"/>
                <w:sz w:val="24"/>
                <w:szCs w:val="24"/>
              </w:rPr>
              <w:t xml:space="preserve"> </w:t>
            </w:r>
            <w:r w:rsidR="00DA40E6">
              <w:rPr>
                <w:rFonts w:ascii="Verdana" w:hAnsi="Verdana" w:cs="Arial"/>
                <w:b/>
                <w:color w:val="000000" w:themeColor="text1"/>
                <w:sz w:val="24"/>
                <w:szCs w:val="24"/>
              </w:rPr>
              <w:t>RISK REGISTER</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2DD3081F" w:rsidR="00577535" w:rsidRPr="00E23B12" w:rsidRDefault="00637B43" w:rsidP="00B40682">
            <w:pPr>
              <w:rPr>
                <w:rFonts w:ascii="Verdana" w:hAnsi="Verdana" w:cs="Arial"/>
                <w:color w:val="FF0000"/>
                <w:sz w:val="24"/>
                <w:szCs w:val="24"/>
              </w:rPr>
            </w:pPr>
            <w:r>
              <w:rPr>
                <w:rStyle w:val="Style8"/>
                <w:rFonts w:ascii="Verdana" w:hAnsi="Verdana"/>
                <w:color w:val="000000" w:themeColor="text1"/>
                <w:szCs w:val="24"/>
              </w:rPr>
              <w:t>19</w:t>
            </w:r>
            <w:r w:rsidR="00E65705" w:rsidRPr="00E23B12">
              <w:rPr>
                <w:rStyle w:val="Style8"/>
                <w:rFonts w:ascii="Verdana" w:hAnsi="Verdana"/>
                <w:color w:val="000000" w:themeColor="text1"/>
                <w:szCs w:val="24"/>
              </w:rPr>
              <w:t>/</w:t>
            </w:r>
            <w:r w:rsidR="00AD57CF">
              <w:rPr>
                <w:rStyle w:val="Style8"/>
                <w:rFonts w:ascii="Verdana" w:hAnsi="Verdana"/>
                <w:color w:val="000000" w:themeColor="text1"/>
                <w:szCs w:val="24"/>
              </w:rPr>
              <w:t>0</w:t>
            </w:r>
            <w:r>
              <w:rPr>
                <w:rStyle w:val="Style8"/>
                <w:rFonts w:ascii="Verdana" w:hAnsi="Verdana"/>
                <w:color w:val="000000" w:themeColor="text1"/>
                <w:szCs w:val="24"/>
              </w:rPr>
              <w:t>9</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AD57CF">
              <w:rPr>
                <w:rStyle w:val="Style8"/>
                <w:rFonts w:ascii="Verdana" w:hAnsi="Verdana"/>
                <w:color w:val="000000" w:themeColor="text1"/>
                <w:szCs w:val="24"/>
              </w:rPr>
              <w:t>3</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726EA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480A6BB0" w:rsidR="00634623" w:rsidRPr="00E23B12" w:rsidRDefault="00637B43"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15812E7" w:rsidR="00747CDC" w:rsidRPr="00E23B12" w:rsidRDefault="00FD3628" w:rsidP="000618D4">
            <w:pPr>
              <w:jc w:val="both"/>
              <w:rPr>
                <w:rFonts w:ascii="Verdana" w:hAnsi="Verdana" w:cs="Arial"/>
                <w:caps/>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FD3628" w:rsidRPr="00E23B12" w:rsidRDefault="00FD3628" w:rsidP="00FD3628">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7F1C752D" w:rsidR="00FD3628" w:rsidRPr="00E23B12" w:rsidRDefault="00FD3628" w:rsidP="00FD3628">
            <w:pPr>
              <w:jc w:val="both"/>
              <w:rPr>
                <w:rFonts w:ascii="Verdana" w:hAnsi="Verdana"/>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FD3628" w:rsidRPr="00E23B12" w:rsidRDefault="00FD3628" w:rsidP="00FD3628">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562EB3CF5E7546318B5CB6A90746833B"/>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FD3628" w:rsidRPr="00E23B12" w:rsidRDefault="00FD3628" w:rsidP="00FD3628">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313C86DF" w:rsidR="00EA7C24" w:rsidRPr="00E23B12" w:rsidRDefault="00102869"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E86188" w:rsidRPr="00E23B12" w14:paraId="1603B208" w14:textId="77777777" w:rsidTr="000618D4">
        <w:trPr>
          <w:trHeight w:val="423"/>
        </w:trPr>
        <w:tc>
          <w:tcPr>
            <w:tcW w:w="4344" w:type="dxa"/>
            <w:vAlign w:val="center"/>
          </w:tcPr>
          <w:p w14:paraId="68D77DB2" w14:textId="47C5885A" w:rsidR="00E86188" w:rsidRPr="00AE477D" w:rsidRDefault="00E86188" w:rsidP="000C1B75">
            <w:pPr>
              <w:rPr>
                <w:rFonts w:ascii="Verdana" w:hAnsi="Verdana" w:cs="Arial"/>
                <w:sz w:val="24"/>
                <w:szCs w:val="24"/>
              </w:rPr>
            </w:pPr>
            <w:r w:rsidRPr="00AE477D">
              <w:rPr>
                <w:rFonts w:ascii="Verdana" w:hAnsi="Verdana" w:cs="Arial"/>
                <w:sz w:val="24"/>
                <w:szCs w:val="24"/>
              </w:rPr>
              <w:t xml:space="preserve">Cwm Taf Morgannwg Audit and Risk Committee </w:t>
            </w:r>
            <w:r w:rsidR="005B1A7C" w:rsidRPr="00AE477D">
              <w:rPr>
                <w:rFonts w:ascii="Verdana" w:hAnsi="Verdana" w:cs="Arial"/>
                <w:sz w:val="24"/>
                <w:szCs w:val="24"/>
              </w:rPr>
              <w:t>(Risk Register)</w:t>
            </w:r>
          </w:p>
        </w:tc>
        <w:tc>
          <w:tcPr>
            <w:tcW w:w="2030" w:type="dxa"/>
            <w:vAlign w:val="center"/>
          </w:tcPr>
          <w:p w14:paraId="2DFE016A" w14:textId="49A26B15" w:rsidR="00E86188" w:rsidRPr="00AE477D" w:rsidRDefault="00637B43" w:rsidP="0069470A">
            <w:pPr>
              <w:rPr>
                <w:rFonts w:ascii="Verdana" w:hAnsi="Verdana" w:cs="Arial"/>
                <w:sz w:val="24"/>
                <w:szCs w:val="24"/>
              </w:rPr>
            </w:pPr>
            <w:r>
              <w:rPr>
                <w:rFonts w:ascii="Verdana" w:hAnsi="Verdana" w:cs="Arial"/>
                <w:sz w:val="24"/>
                <w:szCs w:val="24"/>
              </w:rPr>
              <w:t>A</w:t>
            </w:r>
            <w:r w:rsidRPr="00637B43">
              <w:rPr>
                <w:rFonts w:ascii="Verdana" w:hAnsi="Verdana" w:cs="Arial"/>
                <w:sz w:val="24"/>
                <w:szCs w:val="28"/>
              </w:rPr>
              <w:t>ugust</w:t>
            </w:r>
            <w:r>
              <w:rPr>
                <w:rFonts w:ascii="Verdana" w:hAnsi="Verdana" w:cs="Arial"/>
                <w:szCs w:val="24"/>
              </w:rPr>
              <w:t xml:space="preserve"> </w:t>
            </w:r>
            <w:r w:rsidR="004404A3">
              <w:rPr>
                <w:rFonts w:ascii="Verdana" w:hAnsi="Verdana" w:cs="Arial"/>
                <w:sz w:val="24"/>
                <w:szCs w:val="24"/>
              </w:rPr>
              <w:t>2023</w:t>
            </w:r>
          </w:p>
        </w:tc>
        <w:tc>
          <w:tcPr>
            <w:tcW w:w="3260" w:type="dxa"/>
            <w:vAlign w:val="center"/>
          </w:tcPr>
          <w:p w14:paraId="0488FAA1" w14:textId="7C5A6D66" w:rsidR="00E86188" w:rsidRDefault="00E86188" w:rsidP="00577535">
            <w:pPr>
              <w:rPr>
                <w:rFonts w:ascii="Verdana" w:hAnsi="Verdana" w:cs="Arial"/>
                <w:sz w:val="24"/>
                <w:szCs w:val="24"/>
              </w:rPr>
            </w:pPr>
            <w:r>
              <w:rPr>
                <w:rFonts w:ascii="Verdana" w:hAnsi="Verdana" w:cs="Arial"/>
                <w:sz w:val="24"/>
                <w:szCs w:val="24"/>
              </w:rPr>
              <w:t>For assurance</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49E44445" w14:textId="1EB0F991" w:rsidR="00F8744F" w:rsidRDefault="00F8744F" w:rsidP="00535F77">
            <w:pPr>
              <w:rPr>
                <w:rFonts w:ascii="Verdana" w:hAnsi="Verdana" w:cs="Arial"/>
                <w:sz w:val="24"/>
                <w:szCs w:val="24"/>
              </w:rPr>
            </w:pPr>
            <w:r>
              <w:rPr>
                <w:rFonts w:ascii="Verdana" w:hAnsi="Verdana" w:cs="Arial"/>
                <w:sz w:val="24"/>
                <w:szCs w:val="24"/>
              </w:rPr>
              <w:t>CTMUHB</w:t>
            </w:r>
          </w:p>
          <w:p w14:paraId="0617F5A0" w14:textId="597A74EB"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1E2C38C0" w14:textId="7C0569EB" w:rsidR="00F8744F" w:rsidRDefault="00F8744F" w:rsidP="00535F77">
            <w:pPr>
              <w:rPr>
                <w:rFonts w:ascii="Verdana" w:hAnsi="Verdana" w:cs="Arial"/>
                <w:sz w:val="24"/>
                <w:szCs w:val="24"/>
              </w:rPr>
            </w:pPr>
            <w:r>
              <w:rPr>
                <w:rFonts w:ascii="Verdana" w:hAnsi="Verdana" w:cs="Arial"/>
                <w:sz w:val="24"/>
                <w:szCs w:val="24"/>
              </w:rPr>
              <w:t>Cwm Taf Morgannwg University Health Board</w:t>
            </w:r>
          </w:p>
          <w:p w14:paraId="74269299" w14:textId="0662FA62"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08A672D6" w:rsidR="00E55D6E" w:rsidRDefault="00E55D6E" w:rsidP="00E55D6E">
      <w:pPr>
        <w:pStyle w:val="ListParagraph"/>
        <w:spacing w:after="0" w:line="240" w:lineRule="auto"/>
        <w:ind w:left="360"/>
        <w:rPr>
          <w:rFonts w:ascii="Verdana" w:hAnsi="Verdana" w:cs="Arial"/>
          <w:b/>
          <w:sz w:val="24"/>
          <w:szCs w:val="24"/>
        </w:rPr>
      </w:pPr>
    </w:p>
    <w:p w14:paraId="74903715" w14:textId="5B9E1B6F" w:rsidR="00F8744F" w:rsidRDefault="00F8744F" w:rsidP="00E55D6E">
      <w:pPr>
        <w:pStyle w:val="ListParagraph"/>
        <w:spacing w:after="0" w:line="240" w:lineRule="auto"/>
        <w:ind w:left="360"/>
        <w:rPr>
          <w:rFonts w:ascii="Verdana" w:hAnsi="Verdana" w:cs="Arial"/>
          <w:b/>
          <w:sz w:val="24"/>
          <w:szCs w:val="24"/>
        </w:rPr>
      </w:pPr>
    </w:p>
    <w:p w14:paraId="5B8F6670" w14:textId="77777777" w:rsidR="00F8744F" w:rsidRDefault="00F8744F" w:rsidP="00E55D6E">
      <w:pPr>
        <w:pStyle w:val="ListParagraph"/>
        <w:spacing w:after="0" w:line="240" w:lineRule="auto"/>
        <w:ind w:left="360"/>
        <w:rPr>
          <w:rFonts w:ascii="Verdana" w:hAnsi="Verdana" w:cs="Arial"/>
          <w:b/>
          <w:sz w:val="24"/>
          <w:szCs w:val="24"/>
        </w:rPr>
      </w:pPr>
    </w:p>
    <w:p w14:paraId="79AB5A4D" w14:textId="661EFF83"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4E3D2373" w14:textId="77777777" w:rsidR="00D2329B" w:rsidRPr="00F13F28" w:rsidRDefault="00D2329B" w:rsidP="00D2329B">
      <w:pPr>
        <w:pStyle w:val="ListParagraph"/>
        <w:spacing w:after="0" w:line="240" w:lineRule="auto"/>
        <w:ind w:left="360"/>
        <w:rPr>
          <w:rFonts w:ascii="Verdana" w:hAnsi="Verdana" w:cs="Arial"/>
          <w:b/>
          <w:sz w:val="20"/>
          <w:szCs w:val="20"/>
        </w:rPr>
      </w:pPr>
    </w:p>
    <w:p w14:paraId="55CC37DF" w14:textId="6DB07A9B" w:rsidR="004404A3" w:rsidRPr="004404A3" w:rsidRDefault="0069470A" w:rsidP="004404A3">
      <w:pPr>
        <w:pStyle w:val="ListParagraph"/>
        <w:numPr>
          <w:ilvl w:val="1"/>
          <w:numId w:val="1"/>
        </w:numPr>
        <w:spacing w:after="0" w:line="240" w:lineRule="auto"/>
        <w:jc w:val="both"/>
        <w:rPr>
          <w:rFonts w:ascii="Verdana" w:hAnsi="Verdana" w:cs="ArialMT"/>
          <w:color w:val="333333"/>
          <w:sz w:val="24"/>
          <w:szCs w:val="24"/>
          <w:lang w:val="en-GB"/>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w:t>
      </w:r>
      <w:r w:rsidR="004404A3">
        <w:rPr>
          <w:rFonts w:ascii="Verdana" w:hAnsi="Verdana" w:cs="Arial"/>
          <w:sz w:val="24"/>
        </w:rPr>
        <w:t>the following:</w:t>
      </w:r>
    </w:p>
    <w:p w14:paraId="0365571F" w14:textId="12F57084" w:rsidR="004404A3" w:rsidRDefault="004404A3" w:rsidP="004404A3">
      <w:pPr>
        <w:pStyle w:val="ListParagraph"/>
        <w:numPr>
          <w:ilvl w:val="0"/>
          <w:numId w:val="44"/>
        </w:numPr>
        <w:spacing w:after="0" w:line="240" w:lineRule="auto"/>
        <w:jc w:val="both"/>
        <w:rPr>
          <w:rFonts w:ascii="Verdana" w:hAnsi="Verdana" w:cs="ArialMT"/>
          <w:color w:val="333333"/>
          <w:sz w:val="24"/>
          <w:szCs w:val="24"/>
          <w:lang w:val="en-GB"/>
        </w:rPr>
      </w:pPr>
      <w:r>
        <w:rPr>
          <w:rFonts w:ascii="Verdana" w:hAnsi="Verdana" w:cs="ArialMT"/>
          <w:color w:val="333333"/>
          <w:sz w:val="24"/>
          <w:szCs w:val="24"/>
          <w:lang w:val="en-GB"/>
        </w:rPr>
        <w:t>EASC Risk Register</w:t>
      </w:r>
      <w:r w:rsidR="00F8744F">
        <w:rPr>
          <w:rFonts w:ascii="Verdana" w:hAnsi="Verdana" w:cs="ArialMT"/>
          <w:color w:val="333333"/>
          <w:sz w:val="24"/>
          <w:szCs w:val="24"/>
          <w:lang w:val="en-GB"/>
        </w:rPr>
        <w:t xml:space="preserve"> </w:t>
      </w:r>
    </w:p>
    <w:p w14:paraId="61CBF250" w14:textId="76F2D83F" w:rsidR="004404A3" w:rsidRDefault="004404A3"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EASC Assurance Framework</w:t>
      </w:r>
    </w:p>
    <w:p w14:paraId="5D5EDE00" w14:textId="30872968" w:rsidR="00637B43" w:rsidRDefault="00637B43"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EASC updated model Standing Orders</w:t>
      </w:r>
    </w:p>
    <w:p w14:paraId="02DAB3A4" w14:textId="7A0EF8FE" w:rsidR="00CF19A2" w:rsidRDefault="004404A3"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Investigation by the Welsh Language Commissioner</w:t>
      </w:r>
    </w:p>
    <w:p w14:paraId="2B731C44" w14:textId="6CEA322C" w:rsidR="00102869" w:rsidRDefault="00102869"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Key organisational contacts</w:t>
      </w:r>
    </w:p>
    <w:p w14:paraId="6F93A0FE" w14:textId="6E9A32F9" w:rsidR="00496DFD" w:rsidRDefault="00496DFD"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 xml:space="preserve">Sub Group Annual Reports for 2022-23 </w:t>
      </w:r>
      <w:bookmarkStart w:id="0" w:name="_GoBack"/>
      <w:bookmarkEnd w:id="0"/>
    </w:p>
    <w:p w14:paraId="5FD128D3" w14:textId="3B236F88" w:rsidR="00F8744F" w:rsidRDefault="00F8744F" w:rsidP="004404A3">
      <w:pPr>
        <w:pStyle w:val="ListParagraph"/>
        <w:numPr>
          <w:ilvl w:val="0"/>
          <w:numId w:val="44"/>
        </w:numPr>
        <w:autoSpaceDE w:val="0"/>
        <w:autoSpaceDN w:val="0"/>
        <w:adjustRightInd w:val="0"/>
        <w:spacing w:after="0" w:line="240" w:lineRule="auto"/>
        <w:rPr>
          <w:rFonts w:ascii="Verdana" w:hAnsi="Verdana" w:cs="ArialMT"/>
          <w:color w:val="333333"/>
          <w:sz w:val="24"/>
          <w:szCs w:val="24"/>
          <w:lang w:val="en-GB"/>
        </w:rPr>
      </w:pPr>
      <w:r>
        <w:rPr>
          <w:rFonts w:ascii="Verdana" w:hAnsi="Verdana" w:cs="ArialMT"/>
          <w:color w:val="333333"/>
          <w:sz w:val="24"/>
          <w:szCs w:val="24"/>
          <w:lang w:val="en-GB"/>
        </w:rPr>
        <w:t>Reports to the Audit and Risk Committee at CTMUHB for assurance.</w:t>
      </w:r>
    </w:p>
    <w:p w14:paraId="4655BD71" w14:textId="77777777" w:rsidR="00E37D85" w:rsidRPr="00F13F28" w:rsidRDefault="00E37D85" w:rsidP="00E37D85">
      <w:pPr>
        <w:pStyle w:val="ListParagraph"/>
        <w:spacing w:after="0" w:line="240" w:lineRule="auto"/>
        <w:jc w:val="both"/>
        <w:rPr>
          <w:rFonts w:ascii="Verdana" w:hAnsi="Verdana" w:cs="Arial"/>
          <w:sz w:val="20"/>
          <w:szCs w:val="20"/>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2D96E4A0" w:rsidR="008B23BA" w:rsidRDefault="008B23BA" w:rsidP="008B23BA">
      <w:pPr>
        <w:pStyle w:val="ListParagraph"/>
        <w:spacing w:after="0" w:line="240" w:lineRule="auto"/>
        <w:ind w:left="709"/>
        <w:jc w:val="both"/>
        <w:rPr>
          <w:rFonts w:ascii="Verdana" w:hAnsi="Verdana" w:cs="Arial"/>
          <w:b/>
          <w:sz w:val="20"/>
          <w:szCs w:val="20"/>
        </w:rPr>
      </w:pPr>
    </w:p>
    <w:p w14:paraId="604E553F" w14:textId="38B406B4"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Risk Register </w:t>
      </w:r>
      <w:r w:rsidR="00102869">
        <w:rPr>
          <w:rFonts w:ascii="Verdana" w:hAnsi="Verdana" w:cs="Arial"/>
          <w:sz w:val="24"/>
          <w:szCs w:val="24"/>
        </w:rPr>
        <w:t xml:space="preserve">has </w:t>
      </w:r>
      <w:r w:rsidR="00262DC8">
        <w:rPr>
          <w:rFonts w:ascii="Verdana" w:hAnsi="Verdana" w:cs="Arial"/>
          <w:sz w:val="24"/>
          <w:szCs w:val="24"/>
        </w:rPr>
        <w:t>be</w:t>
      </w:r>
      <w:r w:rsidR="00102869">
        <w:rPr>
          <w:rFonts w:ascii="Verdana" w:hAnsi="Verdana" w:cs="Arial"/>
          <w:sz w:val="24"/>
          <w:szCs w:val="24"/>
        </w:rPr>
        <w:t>en</w:t>
      </w:r>
      <w:r w:rsidR="00262DC8">
        <w:rPr>
          <w:rFonts w:ascii="Verdana" w:hAnsi="Verdana" w:cs="Arial"/>
          <w:sz w:val="24"/>
          <w:szCs w:val="24"/>
        </w:rPr>
        <w:t xml:space="preserve"> reviewed in line with the new Cwm Taf Morgannwg </w:t>
      </w:r>
      <w:r w:rsidR="00F8744F">
        <w:rPr>
          <w:rFonts w:ascii="Verdana" w:hAnsi="Verdana" w:cs="Arial"/>
          <w:sz w:val="24"/>
          <w:szCs w:val="24"/>
        </w:rPr>
        <w:t xml:space="preserve">(CTMUHB) </w:t>
      </w:r>
      <w:r w:rsidR="00262DC8">
        <w:rPr>
          <w:rFonts w:ascii="Verdana" w:hAnsi="Verdana" w:cs="Arial"/>
          <w:sz w:val="24"/>
          <w:szCs w:val="24"/>
        </w:rPr>
        <w:t xml:space="preserve">Risk Management Policy. </w:t>
      </w:r>
    </w:p>
    <w:p w14:paraId="3829449A" w14:textId="77777777" w:rsidR="004404A3" w:rsidRDefault="004404A3" w:rsidP="004404A3">
      <w:pPr>
        <w:pStyle w:val="ListParagraph"/>
        <w:spacing w:after="0" w:line="240" w:lineRule="auto"/>
        <w:jc w:val="both"/>
        <w:rPr>
          <w:rFonts w:ascii="Verdana" w:hAnsi="Verdana" w:cs="Arial"/>
        </w:rPr>
      </w:pPr>
    </w:p>
    <w:p w14:paraId="2239A54F" w14:textId="023585A1" w:rsidR="004404A3" w:rsidRDefault="00262DC8"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The risk register includes</w:t>
      </w:r>
      <w:r w:rsidR="004404A3">
        <w:rPr>
          <w:rFonts w:ascii="Verdana" w:hAnsi="Verdana" w:cs="Arial"/>
          <w:sz w:val="24"/>
          <w:szCs w:val="24"/>
        </w:rPr>
        <w:t xml:space="preserve"> information related to the ongoing system pressures and the impact on patients and the increasing risk of harm. </w:t>
      </w:r>
    </w:p>
    <w:p w14:paraId="1887879E" w14:textId="77777777" w:rsidR="004404A3" w:rsidRDefault="004404A3" w:rsidP="004404A3">
      <w:pPr>
        <w:pStyle w:val="ListParagraph"/>
        <w:rPr>
          <w:rFonts w:ascii="Verdana" w:hAnsi="Verdana" w:cs="Arial"/>
        </w:rPr>
      </w:pPr>
    </w:p>
    <w:p w14:paraId="226A698E" w14:textId="57188072"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w:t>
      </w:r>
      <w:r w:rsidR="00102869">
        <w:rPr>
          <w:rFonts w:ascii="Verdana" w:hAnsi="Verdana" w:cs="Arial"/>
          <w:sz w:val="24"/>
          <w:szCs w:val="24"/>
        </w:rPr>
        <w:t>updated</w:t>
      </w:r>
      <w:r w:rsidR="00262DC8">
        <w:rPr>
          <w:rFonts w:ascii="Verdana" w:hAnsi="Verdana" w:cs="Arial"/>
          <w:sz w:val="24"/>
          <w:szCs w:val="24"/>
        </w:rPr>
        <w:t xml:space="preserve"> </w:t>
      </w:r>
      <w:r>
        <w:rPr>
          <w:rFonts w:ascii="Verdana" w:hAnsi="Verdana" w:cs="Arial"/>
          <w:sz w:val="24"/>
          <w:szCs w:val="24"/>
        </w:rPr>
        <w:t xml:space="preserve">Risk Register is attached at </w:t>
      </w:r>
      <w:r>
        <w:rPr>
          <w:rFonts w:ascii="Verdana" w:hAnsi="Verdana" w:cs="Arial"/>
          <w:b/>
          <w:sz w:val="24"/>
          <w:szCs w:val="24"/>
        </w:rPr>
        <w:t>Appendix 1</w:t>
      </w:r>
      <w:r>
        <w:rPr>
          <w:rFonts w:ascii="Verdana" w:hAnsi="Verdana" w:cs="Arial"/>
          <w:sz w:val="24"/>
          <w:szCs w:val="24"/>
        </w:rPr>
        <w:t>.</w:t>
      </w:r>
    </w:p>
    <w:p w14:paraId="6760260E" w14:textId="77777777" w:rsidR="004404A3" w:rsidRDefault="004404A3" w:rsidP="004404A3">
      <w:pPr>
        <w:pStyle w:val="ListParagraph"/>
        <w:spacing w:after="0" w:line="240" w:lineRule="auto"/>
        <w:jc w:val="both"/>
        <w:rPr>
          <w:rFonts w:ascii="Verdana" w:hAnsi="Verdana" w:cs="Arial"/>
        </w:rPr>
      </w:pPr>
    </w:p>
    <w:p w14:paraId="6EA0CD23"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The Red risks are as follows:</w:t>
      </w:r>
    </w:p>
    <w:p w14:paraId="29EAA0B1" w14:textId="77777777" w:rsidR="004404A3" w:rsidRDefault="004404A3" w:rsidP="004404A3">
      <w:pPr>
        <w:pStyle w:val="ListParagraph"/>
        <w:numPr>
          <w:ilvl w:val="0"/>
          <w:numId w:val="45"/>
        </w:numPr>
        <w:spacing w:after="0" w:line="240" w:lineRule="auto"/>
        <w:jc w:val="both"/>
        <w:rPr>
          <w:rFonts w:ascii="Verdana" w:hAnsi="Verdana" w:cs="Arial"/>
          <w:sz w:val="24"/>
          <w:szCs w:val="24"/>
        </w:rPr>
      </w:pPr>
      <w:r>
        <w:rPr>
          <w:rFonts w:ascii="Verdana" w:eastAsia="Times New Roman" w:hAnsi="Verdana" w:cs="Calibri"/>
          <w:color w:val="000000"/>
          <w:sz w:val="24"/>
          <w:szCs w:val="24"/>
          <w:lang w:val="en-GB" w:eastAsia="en-GB"/>
        </w:rPr>
        <w:t>Failure to deliver the Ministerial direction that EASC effectively plans, commissions and secures services within its remit; and failure to maintain collaborative relationship with providers (4503)</w:t>
      </w:r>
    </w:p>
    <w:p w14:paraId="29236C36" w14:textId="77777777" w:rsidR="004404A3" w:rsidRDefault="004404A3" w:rsidP="004404A3">
      <w:pPr>
        <w:pStyle w:val="ListParagraph"/>
        <w:numPr>
          <w:ilvl w:val="0"/>
          <w:numId w:val="45"/>
        </w:numPr>
        <w:spacing w:after="0" w:line="240" w:lineRule="auto"/>
        <w:jc w:val="both"/>
        <w:rPr>
          <w:rFonts w:ascii="Verdana" w:hAnsi="Verdana" w:cs="Arial"/>
          <w:sz w:val="24"/>
          <w:szCs w:val="24"/>
        </w:rPr>
      </w:pPr>
      <w:r>
        <w:rPr>
          <w:rFonts w:ascii="Verdana" w:hAnsi="Verdana" w:cs="Arial"/>
          <w:sz w:val="24"/>
          <w:szCs w:val="24"/>
        </w:rPr>
        <w:t>Failure to achieve agreed performance standard for category red calls (4506)</w:t>
      </w:r>
    </w:p>
    <w:p w14:paraId="4EFB1926" w14:textId="7755178F" w:rsidR="004404A3" w:rsidRDefault="004404A3" w:rsidP="004404A3">
      <w:pPr>
        <w:pStyle w:val="ListParagraph"/>
        <w:numPr>
          <w:ilvl w:val="0"/>
          <w:numId w:val="46"/>
        </w:numPr>
        <w:spacing w:after="0" w:line="240" w:lineRule="auto"/>
        <w:jc w:val="both"/>
        <w:rPr>
          <w:rFonts w:ascii="Verdana" w:hAnsi="Verdana" w:cs="Arial"/>
          <w:sz w:val="24"/>
          <w:szCs w:val="24"/>
        </w:rPr>
      </w:pPr>
      <w:r>
        <w:rPr>
          <w:rFonts w:ascii="Verdana" w:hAnsi="Verdana" w:cs="Arial"/>
          <w:sz w:val="24"/>
          <w:szCs w:val="24"/>
        </w:rPr>
        <w:t>Failure to achieve agreed performance standard for amber category calls (4507)</w:t>
      </w:r>
      <w:r w:rsidR="00F8744F">
        <w:rPr>
          <w:rFonts w:ascii="Verdana" w:hAnsi="Verdana" w:cs="Arial"/>
          <w:sz w:val="24"/>
          <w:szCs w:val="24"/>
        </w:rPr>
        <w:t xml:space="preserve"> this risk has been reduced to 20</w:t>
      </w:r>
      <w:r>
        <w:rPr>
          <w:rFonts w:ascii="Verdana" w:hAnsi="Verdana" w:cs="Arial"/>
          <w:sz w:val="24"/>
          <w:szCs w:val="24"/>
        </w:rPr>
        <w:t xml:space="preserve">. </w:t>
      </w:r>
    </w:p>
    <w:p w14:paraId="1200B63A" w14:textId="77777777" w:rsidR="004404A3" w:rsidRDefault="004404A3" w:rsidP="004404A3">
      <w:pPr>
        <w:pStyle w:val="ListParagraph"/>
        <w:numPr>
          <w:ilvl w:val="0"/>
          <w:numId w:val="46"/>
        </w:numPr>
        <w:spacing w:after="0" w:line="240" w:lineRule="auto"/>
        <w:jc w:val="both"/>
        <w:rPr>
          <w:rFonts w:ascii="Verdana" w:hAnsi="Verdana" w:cs="Arial"/>
          <w:sz w:val="24"/>
          <w:szCs w:val="24"/>
        </w:rPr>
      </w:pPr>
      <w:r>
        <w:rPr>
          <w:rFonts w:ascii="Verdana" w:hAnsi="Verdana" w:cs="Arial"/>
          <w:sz w:val="24"/>
          <w:szCs w:val="24"/>
        </w:rPr>
        <w:t xml:space="preserve">Failure to take appropriate commissioning actions to support the provider in their management of patient safety and to minimise clinical risk during times of escalation (5005) </w:t>
      </w:r>
    </w:p>
    <w:p w14:paraId="405B865E" w14:textId="52671FAE" w:rsidR="004404A3" w:rsidRDefault="004404A3" w:rsidP="004404A3">
      <w:pPr>
        <w:pStyle w:val="ListParagraph"/>
        <w:numPr>
          <w:ilvl w:val="0"/>
          <w:numId w:val="46"/>
        </w:numPr>
        <w:spacing w:after="0" w:line="240" w:lineRule="auto"/>
        <w:jc w:val="both"/>
        <w:rPr>
          <w:rFonts w:ascii="Verdana" w:eastAsia="Times New Roman" w:hAnsi="Verdana" w:cs="Calibri"/>
          <w:color w:val="000000"/>
          <w:sz w:val="24"/>
          <w:szCs w:val="24"/>
          <w:lang w:val="en-GB" w:eastAsia="en-GB"/>
        </w:rPr>
      </w:pPr>
      <w:r>
        <w:rPr>
          <w:rFonts w:ascii="Verdana" w:eastAsia="Times New Roman" w:hAnsi="Verdana" w:cs="Calibri"/>
          <w:color w:val="000000"/>
          <w:sz w:val="24"/>
          <w:szCs w:val="24"/>
          <w:lang w:val="en-GB" w:eastAsia="en-GB"/>
        </w:rPr>
        <w:t>Failure to secure sufficient ambulance capacity to meet the needs of the population (5370)</w:t>
      </w:r>
      <w:r w:rsidR="00F8744F">
        <w:rPr>
          <w:rFonts w:ascii="Verdana" w:eastAsia="Times New Roman" w:hAnsi="Verdana" w:cs="Calibri"/>
          <w:color w:val="000000"/>
          <w:sz w:val="24"/>
          <w:szCs w:val="24"/>
          <w:lang w:val="en-GB" w:eastAsia="en-GB"/>
        </w:rPr>
        <w:t>.</w:t>
      </w:r>
    </w:p>
    <w:p w14:paraId="123E9FF0" w14:textId="77777777" w:rsidR="004404A3" w:rsidRDefault="004404A3" w:rsidP="004404A3">
      <w:pPr>
        <w:spacing w:after="0" w:line="240" w:lineRule="auto"/>
        <w:jc w:val="both"/>
        <w:rPr>
          <w:rFonts w:ascii="Verdana" w:hAnsi="Verdana" w:cs="Arial"/>
          <w:sz w:val="24"/>
          <w:szCs w:val="24"/>
        </w:rPr>
      </w:pPr>
    </w:p>
    <w:p w14:paraId="22D6F4D0" w14:textId="1A6A4807" w:rsidR="00F8744F" w:rsidRPr="00637B43" w:rsidRDefault="004404A3" w:rsidP="0024267F">
      <w:pPr>
        <w:pStyle w:val="ListParagraph"/>
        <w:numPr>
          <w:ilvl w:val="1"/>
          <w:numId w:val="43"/>
        </w:numPr>
        <w:spacing w:after="0" w:line="240" w:lineRule="auto"/>
        <w:jc w:val="both"/>
        <w:rPr>
          <w:rFonts w:ascii="Verdana" w:hAnsi="Verdana" w:cs="Arial"/>
          <w:sz w:val="24"/>
          <w:szCs w:val="24"/>
        </w:rPr>
      </w:pPr>
      <w:r w:rsidRPr="00637B43">
        <w:rPr>
          <w:rFonts w:ascii="Verdana" w:hAnsi="Verdana" w:cs="Arial"/>
          <w:sz w:val="24"/>
          <w:szCs w:val="24"/>
        </w:rPr>
        <w:t>All of the risks are included on the Datix Risk Management System in line with the requirements of the host body Cwm Taf Morgannwg UHB.</w:t>
      </w:r>
      <w:r w:rsidR="00637B43" w:rsidRPr="00637B43">
        <w:rPr>
          <w:rFonts w:ascii="Verdana" w:hAnsi="Verdana" w:cs="Arial"/>
          <w:sz w:val="24"/>
          <w:szCs w:val="24"/>
        </w:rPr>
        <w:t xml:space="preserve"> The Committee agreed at the last meeting to adopt the CTMUHB approach to risk appetite until new Joint Committee arrangements were developed.</w:t>
      </w:r>
    </w:p>
    <w:p w14:paraId="166C4386" w14:textId="35917084" w:rsidR="00F8744F" w:rsidRDefault="00F8744F" w:rsidP="004404A3">
      <w:pPr>
        <w:pStyle w:val="ListParagraph"/>
        <w:spacing w:after="0" w:line="240" w:lineRule="auto"/>
        <w:jc w:val="both"/>
        <w:rPr>
          <w:rFonts w:ascii="Verdana" w:hAnsi="Verdana" w:cs="Arial"/>
          <w:sz w:val="24"/>
          <w:szCs w:val="24"/>
        </w:rPr>
      </w:pPr>
    </w:p>
    <w:p w14:paraId="678C22AC" w14:textId="77777777" w:rsidR="004404A3" w:rsidRDefault="004404A3" w:rsidP="004404A3">
      <w:pPr>
        <w:spacing w:after="0" w:line="240" w:lineRule="auto"/>
        <w:jc w:val="both"/>
        <w:rPr>
          <w:rFonts w:ascii="Verdana" w:hAnsi="Verdana" w:cs="Arial"/>
          <w:b/>
          <w:bCs/>
          <w:sz w:val="24"/>
          <w:szCs w:val="24"/>
        </w:rPr>
      </w:pPr>
      <w:r>
        <w:rPr>
          <w:rFonts w:ascii="Verdana" w:hAnsi="Verdana" w:cs="Arial"/>
          <w:b/>
          <w:bCs/>
          <w:sz w:val="24"/>
          <w:szCs w:val="24"/>
        </w:rPr>
        <w:t>EASC Assurance Framework</w:t>
      </w:r>
    </w:p>
    <w:p w14:paraId="061B1ED1" w14:textId="6AE3E2E9"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updated EASC Assurance Framework is attached as </w:t>
      </w:r>
      <w:r>
        <w:rPr>
          <w:rFonts w:ascii="Verdana" w:hAnsi="Verdana" w:cs="Arial"/>
          <w:b/>
          <w:bCs/>
          <w:sz w:val="24"/>
          <w:szCs w:val="24"/>
        </w:rPr>
        <w:t xml:space="preserve">Appendix </w:t>
      </w:r>
      <w:r w:rsidR="00637B43">
        <w:rPr>
          <w:rFonts w:ascii="Verdana" w:hAnsi="Verdana" w:cs="Arial"/>
          <w:b/>
          <w:bCs/>
          <w:sz w:val="24"/>
          <w:szCs w:val="24"/>
        </w:rPr>
        <w:t>2</w:t>
      </w:r>
      <w:r>
        <w:rPr>
          <w:rFonts w:ascii="Verdana" w:hAnsi="Verdana" w:cs="Arial"/>
          <w:sz w:val="24"/>
          <w:szCs w:val="24"/>
        </w:rPr>
        <w:t xml:space="preserve"> </w:t>
      </w:r>
      <w:r w:rsidR="00262DC8">
        <w:rPr>
          <w:rFonts w:ascii="Verdana" w:hAnsi="Verdana" w:cs="Arial"/>
          <w:sz w:val="24"/>
          <w:szCs w:val="24"/>
        </w:rPr>
        <w:t>which reflects the current</w:t>
      </w:r>
      <w:r>
        <w:rPr>
          <w:rFonts w:ascii="Verdana" w:hAnsi="Verdana" w:cs="Arial"/>
          <w:sz w:val="24"/>
          <w:szCs w:val="24"/>
        </w:rPr>
        <w:t xml:space="preserve"> EASC Risk Register.</w:t>
      </w:r>
    </w:p>
    <w:p w14:paraId="683A220A" w14:textId="765716E1" w:rsidR="00637B43" w:rsidRDefault="004404A3" w:rsidP="00637B4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lastRenderedPageBreak/>
        <w:t>This Framework is in line with the requirements of the host body</w:t>
      </w:r>
      <w:r w:rsidR="00262DC8">
        <w:rPr>
          <w:rFonts w:ascii="Verdana" w:hAnsi="Verdana" w:cs="Arial"/>
          <w:sz w:val="24"/>
          <w:szCs w:val="24"/>
        </w:rPr>
        <w:t xml:space="preserve"> and </w:t>
      </w:r>
      <w:r w:rsidR="00F8744F">
        <w:rPr>
          <w:rFonts w:ascii="Verdana" w:hAnsi="Verdana" w:cs="Arial"/>
          <w:sz w:val="24"/>
          <w:szCs w:val="24"/>
        </w:rPr>
        <w:t>has been updated</w:t>
      </w:r>
      <w:r w:rsidR="00262DC8">
        <w:rPr>
          <w:rFonts w:ascii="Verdana" w:hAnsi="Verdana" w:cs="Arial"/>
          <w:sz w:val="24"/>
          <w:szCs w:val="24"/>
        </w:rPr>
        <w:t xml:space="preserve"> following the review of the Risk Register</w:t>
      </w:r>
      <w:r>
        <w:rPr>
          <w:rFonts w:ascii="Verdana" w:hAnsi="Verdana" w:cs="Arial"/>
          <w:sz w:val="24"/>
          <w:szCs w:val="24"/>
        </w:rPr>
        <w:t>.</w:t>
      </w:r>
    </w:p>
    <w:p w14:paraId="0615AE74" w14:textId="2E45D03E" w:rsidR="00637B43" w:rsidRDefault="00637B43" w:rsidP="00637B43">
      <w:pPr>
        <w:spacing w:after="0" w:line="240" w:lineRule="auto"/>
        <w:jc w:val="both"/>
        <w:rPr>
          <w:rFonts w:ascii="Verdana" w:hAnsi="Verdana" w:cs="Arial"/>
          <w:sz w:val="24"/>
          <w:szCs w:val="24"/>
        </w:rPr>
      </w:pPr>
    </w:p>
    <w:p w14:paraId="4752AD05" w14:textId="493832C8" w:rsidR="00637B43" w:rsidRPr="00362AC1" w:rsidRDefault="00637B43" w:rsidP="00637B43">
      <w:pPr>
        <w:spacing w:after="0" w:line="240" w:lineRule="auto"/>
        <w:jc w:val="both"/>
        <w:rPr>
          <w:rFonts w:ascii="Verdana" w:hAnsi="Verdana" w:cs="Arial"/>
          <w:b/>
          <w:bCs/>
          <w:sz w:val="24"/>
          <w:szCs w:val="24"/>
        </w:rPr>
      </w:pPr>
      <w:r w:rsidRPr="00362AC1">
        <w:rPr>
          <w:rFonts w:ascii="Verdana" w:hAnsi="Verdana" w:cs="Arial"/>
          <w:b/>
          <w:bCs/>
          <w:sz w:val="24"/>
          <w:szCs w:val="24"/>
        </w:rPr>
        <w:t>EASC Updated Model Standing Orders</w:t>
      </w:r>
    </w:p>
    <w:p w14:paraId="5F1DE157" w14:textId="7E5E99A8" w:rsidR="00637B43" w:rsidRDefault="00637B4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The updated model Standing Orders for EASC are attached as </w:t>
      </w:r>
      <w:r w:rsidRPr="00637B43">
        <w:rPr>
          <w:rFonts w:ascii="Verdana" w:hAnsi="Verdana" w:cs="Arial"/>
          <w:b/>
          <w:bCs/>
          <w:sz w:val="24"/>
          <w:szCs w:val="24"/>
        </w:rPr>
        <w:t>Appendix 3</w:t>
      </w:r>
      <w:r>
        <w:rPr>
          <w:rFonts w:ascii="Verdana" w:hAnsi="Verdana" w:cs="Arial"/>
          <w:sz w:val="24"/>
          <w:szCs w:val="24"/>
        </w:rPr>
        <w:t>. The changes made to the document are highlighted in red.</w:t>
      </w:r>
      <w:r w:rsidR="00087307">
        <w:rPr>
          <w:rFonts w:ascii="Verdana" w:hAnsi="Verdana" w:cs="Arial"/>
          <w:sz w:val="24"/>
          <w:szCs w:val="24"/>
        </w:rPr>
        <w:t xml:space="preserve"> The letter sent by the Minister to Chairs is attached at </w:t>
      </w:r>
      <w:r w:rsidR="00087307" w:rsidRPr="00087307">
        <w:rPr>
          <w:rFonts w:ascii="Verdana" w:hAnsi="Verdana" w:cs="Arial"/>
          <w:b/>
          <w:bCs/>
          <w:sz w:val="24"/>
          <w:szCs w:val="24"/>
        </w:rPr>
        <w:t>Appendix 3.1</w:t>
      </w:r>
      <w:r w:rsidR="00087307">
        <w:rPr>
          <w:rFonts w:ascii="Verdana" w:hAnsi="Verdana" w:cs="Arial"/>
          <w:sz w:val="24"/>
          <w:szCs w:val="24"/>
        </w:rPr>
        <w:t>.</w:t>
      </w:r>
    </w:p>
    <w:p w14:paraId="0E39C409" w14:textId="7F9F2BE2" w:rsidR="00087307" w:rsidRDefault="00087307"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The Model Standing Orders once approved will be form part of the schedule for Health Board Standing Orders as with previous iterations</w:t>
      </w:r>
    </w:p>
    <w:p w14:paraId="143B37DA" w14:textId="78BF8EB5" w:rsidR="00637B43" w:rsidRDefault="00637B43" w:rsidP="00637B4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Areas of specific change</w:t>
      </w:r>
      <w:r w:rsidR="00362AC1">
        <w:rPr>
          <w:rFonts w:ascii="Verdana" w:hAnsi="Verdana" w:cs="Arial"/>
          <w:sz w:val="24"/>
          <w:szCs w:val="24"/>
        </w:rPr>
        <w:t>s</w:t>
      </w:r>
      <w:r>
        <w:rPr>
          <w:rFonts w:ascii="Verdana" w:hAnsi="Verdana" w:cs="Arial"/>
          <w:sz w:val="24"/>
          <w:szCs w:val="24"/>
        </w:rPr>
        <w:t xml:space="preserve"> include</w:t>
      </w:r>
      <w:r w:rsidR="00362AC1">
        <w:rPr>
          <w:rFonts w:ascii="Verdana" w:hAnsi="Verdana" w:cs="Arial"/>
          <w:sz w:val="24"/>
          <w:szCs w:val="24"/>
        </w:rPr>
        <w:t xml:space="preserve"> some typographic issues and more relevant as per the following pages:</w:t>
      </w:r>
    </w:p>
    <w:p w14:paraId="7EAE291A" w14:textId="77777777" w:rsidR="006E588D" w:rsidRDefault="00637B43" w:rsidP="00637B43">
      <w:pPr>
        <w:pStyle w:val="ListParagraph"/>
        <w:numPr>
          <w:ilvl w:val="0"/>
          <w:numId w:val="44"/>
        </w:numPr>
        <w:spacing w:after="0" w:line="240" w:lineRule="auto"/>
        <w:jc w:val="both"/>
        <w:rPr>
          <w:rFonts w:ascii="Verdana" w:hAnsi="Verdana" w:cs="Arial"/>
          <w:sz w:val="24"/>
          <w:szCs w:val="24"/>
        </w:rPr>
      </w:pPr>
      <w:r>
        <w:rPr>
          <w:rFonts w:ascii="Verdana" w:hAnsi="Verdana" w:cs="Arial"/>
          <w:sz w:val="24"/>
          <w:szCs w:val="24"/>
        </w:rPr>
        <w:t xml:space="preserve">Page 7 </w:t>
      </w:r>
    </w:p>
    <w:p w14:paraId="3AF36A1C" w14:textId="291248C0" w:rsidR="00637B43" w:rsidRPr="00637B43" w:rsidRDefault="006E588D" w:rsidP="006E588D">
      <w:pPr>
        <w:pStyle w:val="ListParagraph"/>
        <w:spacing w:after="0" w:line="240" w:lineRule="auto"/>
        <w:ind w:left="1080"/>
        <w:jc w:val="both"/>
        <w:rPr>
          <w:rFonts w:ascii="Verdana" w:hAnsi="Verdana" w:cs="Arial"/>
          <w:sz w:val="24"/>
          <w:szCs w:val="24"/>
        </w:rPr>
      </w:pPr>
      <w:r>
        <w:rPr>
          <w:noProof/>
        </w:rPr>
        <w:drawing>
          <wp:inline distT="0" distB="0" distL="0" distR="0" wp14:anchorId="0CD0B864" wp14:editId="3D5C0A2C">
            <wp:extent cx="5259383" cy="47053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272787" cy="4717342"/>
                    </a:xfrm>
                    <a:prstGeom prst="rect">
                      <a:avLst/>
                    </a:prstGeom>
                  </pic:spPr>
                </pic:pic>
              </a:graphicData>
            </a:graphic>
          </wp:inline>
        </w:drawing>
      </w:r>
    </w:p>
    <w:p w14:paraId="45E7A0DD" w14:textId="2D5856DA" w:rsidR="00637B43" w:rsidRDefault="00637B43" w:rsidP="00637B43">
      <w:pPr>
        <w:pStyle w:val="ListParagraph"/>
        <w:numPr>
          <w:ilvl w:val="0"/>
          <w:numId w:val="44"/>
        </w:numPr>
        <w:spacing w:after="0" w:line="240" w:lineRule="auto"/>
        <w:jc w:val="both"/>
        <w:rPr>
          <w:rFonts w:ascii="Verdana" w:hAnsi="Verdana" w:cs="Arial"/>
          <w:sz w:val="24"/>
          <w:szCs w:val="24"/>
        </w:rPr>
      </w:pPr>
      <w:r>
        <w:rPr>
          <w:rFonts w:ascii="Verdana" w:hAnsi="Verdana" w:cs="Arial"/>
          <w:sz w:val="24"/>
          <w:szCs w:val="24"/>
        </w:rPr>
        <w:t xml:space="preserve">Page 8 </w:t>
      </w:r>
      <w:r w:rsidR="00362AC1">
        <w:rPr>
          <w:rFonts w:ascii="Verdana" w:hAnsi="Verdana" w:cs="Arial"/>
          <w:sz w:val="24"/>
          <w:szCs w:val="24"/>
        </w:rPr>
        <w:t xml:space="preserve">(and page 49) </w:t>
      </w:r>
      <w:r>
        <w:rPr>
          <w:rFonts w:ascii="Verdana" w:hAnsi="Verdana" w:cs="Arial"/>
          <w:sz w:val="24"/>
          <w:szCs w:val="24"/>
        </w:rPr>
        <w:t>to include the Health and Care Quality Standards 2023</w:t>
      </w:r>
    </w:p>
    <w:p w14:paraId="188D9503" w14:textId="3FB15B2A" w:rsidR="006E588D" w:rsidRDefault="006E588D" w:rsidP="00637B43">
      <w:pPr>
        <w:pStyle w:val="ListParagraph"/>
        <w:numPr>
          <w:ilvl w:val="0"/>
          <w:numId w:val="44"/>
        </w:numPr>
        <w:spacing w:after="0" w:line="240" w:lineRule="auto"/>
        <w:jc w:val="both"/>
        <w:rPr>
          <w:rFonts w:ascii="Verdana" w:hAnsi="Verdana" w:cs="Arial"/>
          <w:sz w:val="24"/>
          <w:szCs w:val="24"/>
        </w:rPr>
      </w:pPr>
      <w:r>
        <w:rPr>
          <w:rFonts w:ascii="Verdana" w:hAnsi="Verdana" w:cs="Arial"/>
          <w:sz w:val="24"/>
          <w:szCs w:val="24"/>
        </w:rPr>
        <w:t>Page 9 to include reference to the EASC Standing Financial Instructions approved by the Joint Committee in March 2023.</w:t>
      </w:r>
    </w:p>
    <w:p w14:paraId="63EFBE7F" w14:textId="2014FB24" w:rsidR="00637B43" w:rsidRDefault="00637B43" w:rsidP="00637B43">
      <w:pPr>
        <w:pStyle w:val="ListParagraph"/>
        <w:numPr>
          <w:ilvl w:val="0"/>
          <w:numId w:val="44"/>
        </w:numPr>
        <w:spacing w:after="0" w:line="240" w:lineRule="auto"/>
        <w:jc w:val="both"/>
        <w:rPr>
          <w:rFonts w:ascii="Verdana" w:hAnsi="Verdana" w:cs="Arial"/>
          <w:sz w:val="24"/>
          <w:szCs w:val="24"/>
        </w:rPr>
      </w:pPr>
      <w:r>
        <w:rPr>
          <w:rFonts w:ascii="Verdana" w:hAnsi="Verdana" w:cs="Arial"/>
          <w:sz w:val="24"/>
          <w:szCs w:val="24"/>
        </w:rPr>
        <w:t>Page 12 –</w:t>
      </w:r>
      <w:r w:rsidR="006E588D">
        <w:rPr>
          <w:rFonts w:ascii="Verdana" w:hAnsi="Verdana" w:cs="Arial"/>
          <w:sz w:val="24"/>
          <w:szCs w:val="24"/>
        </w:rPr>
        <w:t xml:space="preserve"> please note</w:t>
      </w:r>
      <w:r>
        <w:rPr>
          <w:rFonts w:ascii="Verdana" w:hAnsi="Verdana" w:cs="Arial"/>
          <w:sz w:val="24"/>
          <w:szCs w:val="24"/>
        </w:rPr>
        <w:t xml:space="preserve"> the role of the Committee remains unchanged</w:t>
      </w:r>
    </w:p>
    <w:p w14:paraId="13352273" w14:textId="77777777" w:rsidR="006E588D" w:rsidRDefault="00637B43" w:rsidP="00637B43">
      <w:pPr>
        <w:pStyle w:val="ListParagraph"/>
        <w:numPr>
          <w:ilvl w:val="0"/>
          <w:numId w:val="44"/>
        </w:numPr>
        <w:spacing w:after="0" w:line="240" w:lineRule="auto"/>
        <w:jc w:val="both"/>
        <w:rPr>
          <w:rFonts w:ascii="Verdana" w:hAnsi="Verdana" w:cs="Arial"/>
          <w:sz w:val="24"/>
          <w:szCs w:val="24"/>
        </w:rPr>
      </w:pPr>
      <w:r>
        <w:rPr>
          <w:rFonts w:ascii="Verdana" w:hAnsi="Verdana" w:cs="Arial"/>
          <w:sz w:val="24"/>
          <w:szCs w:val="24"/>
        </w:rPr>
        <w:t xml:space="preserve">Page 21 – Working with </w:t>
      </w:r>
      <w:proofErr w:type="spellStart"/>
      <w:r>
        <w:rPr>
          <w:rFonts w:ascii="Verdana" w:hAnsi="Verdana" w:cs="Arial"/>
          <w:sz w:val="24"/>
          <w:szCs w:val="24"/>
        </w:rPr>
        <w:t>Llais</w:t>
      </w:r>
      <w:proofErr w:type="spellEnd"/>
      <w:r>
        <w:rPr>
          <w:rFonts w:ascii="Verdana" w:hAnsi="Verdana" w:cs="Arial"/>
          <w:sz w:val="24"/>
          <w:szCs w:val="24"/>
        </w:rPr>
        <w:t xml:space="preserve"> (the Citizen Voice Body) </w:t>
      </w:r>
    </w:p>
    <w:p w14:paraId="67F05151" w14:textId="73F8ED2A" w:rsidR="00637B43" w:rsidRDefault="006E588D" w:rsidP="006E588D">
      <w:pPr>
        <w:pStyle w:val="ListParagraph"/>
        <w:spacing w:after="0" w:line="240" w:lineRule="auto"/>
        <w:ind w:left="1080"/>
        <w:jc w:val="both"/>
        <w:rPr>
          <w:rFonts w:ascii="Verdana" w:hAnsi="Verdana" w:cs="Arial"/>
          <w:sz w:val="24"/>
          <w:szCs w:val="24"/>
        </w:rPr>
      </w:pPr>
      <w:r>
        <w:rPr>
          <w:noProof/>
        </w:rPr>
        <w:lastRenderedPageBreak/>
        <w:drawing>
          <wp:inline distT="0" distB="0" distL="0" distR="0" wp14:anchorId="7272176C" wp14:editId="611282BF">
            <wp:extent cx="4859409" cy="24574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879529" cy="2467625"/>
                    </a:xfrm>
                    <a:prstGeom prst="rect">
                      <a:avLst/>
                    </a:prstGeom>
                  </pic:spPr>
                </pic:pic>
              </a:graphicData>
            </a:graphic>
          </wp:inline>
        </w:drawing>
      </w:r>
      <w:r>
        <w:rPr>
          <w:rFonts w:ascii="Verdana" w:hAnsi="Verdana" w:cs="Arial"/>
          <w:sz w:val="24"/>
          <w:szCs w:val="24"/>
        </w:rPr>
        <w:t xml:space="preserve"> </w:t>
      </w:r>
    </w:p>
    <w:p w14:paraId="2FAF624A" w14:textId="1E2ECF54" w:rsidR="006E588D" w:rsidRDefault="006E588D" w:rsidP="006E588D">
      <w:pPr>
        <w:pStyle w:val="ListParagraph"/>
        <w:spacing w:after="0" w:line="240" w:lineRule="auto"/>
        <w:ind w:left="1080"/>
        <w:jc w:val="both"/>
        <w:rPr>
          <w:rFonts w:ascii="Verdana" w:hAnsi="Verdana" w:cs="Arial"/>
          <w:sz w:val="24"/>
          <w:szCs w:val="24"/>
        </w:rPr>
      </w:pPr>
      <w:r>
        <w:rPr>
          <w:noProof/>
        </w:rPr>
        <w:drawing>
          <wp:inline distT="0" distB="0" distL="0" distR="0" wp14:anchorId="03885A29" wp14:editId="49D3845C">
            <wp:extent cx="4981575" cy="3539541"/>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014239" cy="3562749"/>
                    </a:xfrm>
                    <a:prstGeom prst="rect">
                      <a:avLst/>
                    </a:prstGeom>
                  </pic:spPr>
                </pic:pic>
              </a:graphicData>
            </a:graphic>
          </wp:inline>
        </w:drawing>
      </w:r>
    </w:p>
    <w:p w14:paraId="04D47940" w14:textId="3108B7CC" w:rsidR="006E588D" w:rsidRDefault="006E588D" w:rsidP="006E588D">
      <w:pPr>
        <w:pStyle w:val="ListParagraph"/>
        <w:numPr>
          <w:ilvl w:val="0"/>
          <w:numId w:val="44"/>
        </w:numPr>
        <w:spacing w:after="0" w:line="240" w:lineRule="auto"/>
        <w:jc w:val="both"/>
        <w:rPr>
          <w:rFonts w:ascii="Verdana" w:hAnsi="Verdana" w:cs="Arial"/>
          <w:sz w:val="24"/>
          <w:szCs w:val="24"/>
        </w:rPr>
      </w:pPr>
      <w:r>
        <w:rPr>
          <w:rFonts w:ascii="Verdana" w:hAnsi="Verdana" w:cs="Arial"/>
          <w:sz w:val="24"/>
          <w:szCs w:val="24"/>
        </w:rPr>
        <w:t xml:space="preserve">Page 30 </w:t>
      </w:r>
      <w:r w:rsidR="00362AC1">
        <w:rPr>
          <w:rFonts w:ascii="Verdana" w:hAnsi="Verdana" w:cs="Arial"/>
          <w:sz w:val="24"/>
          <w:szCs w:val="24"/>
        </w:rPr>
        <w:t xml:space="preserve">(and page 33 &amp; 46) </w:t>
      </w:r>
      <w:r>
        <w:rPr>
          <w:rFonts w:ascii="Verdana" w:hAnsi="Verdana" w:cs="Arial"/>
          <w:sz w:val="24"/>
          <w:szCs w:val="24"/>
        </w:rPr>
        <w:t xml:space="preserve">confirming the use of the CTMUHB Values and Standards of </w:t>
      </w:r>
      <w:proofErr w:type="spellStart"/>
      <w:r>
        <w:rPr>
          <w:rFonts w:ascii="Verdana" w:hAnsi="Verdana" w:cs="Arial"/>
          <w:sz w:val="24"/>
          <w:szCs w:val="24"/>
        </w:rPr>
        <w:t>Behaviour</w:t>
      </w:r>
      <w:proofErr w:type="spellEnd"/>
      <w:r>
        <w:rPr>
          <w:rFonts w:ascii="Verdana" w:hAnsi="Verdana" w:cs="Arial"/>
          <w:sz w:val="24"/>
          <w:szCs w:val="24"/>
        </w:rPr>
        <w:t xml:space="preserve"> document</w:t>
      </w:r>
      <w:r w:rsidR="00362AC1">
        <w:rPr>
          <w:rFonts w:ascii="Verdana" w:hAnsi="Verdana" w:cs="Arial"/>
          <w:sz w:val="24"/>
          <w:szCs w:val="24"/>
        </w:rPr>
        <w:t>.</w:t>
      </w:r>
    </w:p>
    <w:p w14:paraId="367FD557" w14:textId="7EE6C22A" w:rsidR="00362AC1" w:rsidRDefault="00362AC1" w:rsidP="006E588D">
      <w:pPr>
        <w:pStyle w:val="ListParagraph"/>
        <w:numPr>
          <w:ilvl w:val="0"/>
          <w:numId w:val="44"/>
        </w:numPr>
        <w:spacing w:after="0" w:line="240" w:lineRule="auto"/>
        <w:jc w:val="both"/>
        <w:rPr>
          <w:rFonts w:ascii="Verdana" w:hAnsi="Verdana" w:cs="Arial"/>
          <w:sz w:val="24"/>
          <w:szCs w:val="24"/>
        </w:rPr>
      </w:pPr>
      <w:r>
        <w:rPr>
          <w:rFonts w:ascii="Verdana" w:hAnsi="Verdana" w:cs="Arial"/>
          <w:sz w:val="24"/>
          <w:szCs w:val="24"/>
        </w:rPr>
        <w:t xml:space="preserve">Page 51 – sub committee information added </w:t>
      </w:r>
    </w:p>
    <w:p w14:paraId="5BD5FDB9" w14:textId="77777777" w:rsidR="00362AC1" w:rsidRDefault="00362AC1" w:rsidP="006E588D">
      <w:pPr>
        <w:pStyle w:val="ListParagraph"/>
        <w:numPr>
          <w:ilvl w:val="0"/>
          <w:numId w:val="44"/>
        </w:numPr>
        <w:spacing w:after="0" w:line="240" w:lineRule="auto"/>
        <w:jc w:val="both"/>
        <w:rPr>
          <w:rFonts w:ascii="Verdana" w:hAnsi="Verdana" w:cs="Arial"/>
          <w:sz w:val="24"/>
          <w:szCs w:val="24"/>
        </w:rPr>
      </w:pPr>
      <w:r>
        <w:rPr>
          <w:rFonts w:ascii="Verdana" w:hAnsi="Verdana" w:cs="Arial"/>
          <w:sz w:val="24"/>
          <w:szCs w:val="24"/>
        </w:rPr>
        <w:t>Page 52 – Scheme of Delegation added from EASC Standing Orders approved at the March 2023 meeting</w:t>
      </w:r>
    </w:p>
    <w:p w14:paraId="68C0261E" w14:textId="215ADD93" w:rsidR="00637B43" w:rsidRPr="00362AC1" w:rsidRDefault="00362AC1" w:rsidP="00362AC1">
      <w:pPr>
        <w:pStyle w:val="ListParagraph"/>
        <w:numPr>
          <w:ilvl w:val="0"/>
          <w:numId w:val="44"/>
        </w:numPr>
        <w:spacing w:after="0" w:line="240" w:lineRule="auto"/>
        <w:jc w:val="both"/>
        <w:rPr>
          <w:rFonts w:ascii="Verdana" w:hAnsi="Verdana" w:cs="Arial"/>
          <w:sz w:val="24"/>
          <w:szCs w:val="24"/>
        </w:rPr>
      </w:pPr>
      <w:r>
        <w:rPr>
          <w:rFonts w:ascii="Verdana" w:hAnsi="Verdana" w:cs="Arial"/>
          <w:sz w:val="24"/>
          <w:szCs w:val="24"/>
        </w:rPr>
        <w:t>Page 55 – updated sub group Terms of Reference in line with EASC approval.</w:t>
      </w:r>
    </w:p>
    <w:p w14:paraId="36B2CFCC" w14:textId="62047FBC" w:rsidR="004404A3" w:rsidRDefault="004404A3" w:rsidP="004404A3">
      <w:pPr>
        <w:spacing w:after="0" w:line="240" w:lineRule="auto"/>
        <w:jc w:val="both"/>
        <w:rPr>
          <w:rFonts w:ascii="Verdana" w:hAnsi="Verdana" w:cs="Arial"/>
          <w:sz w:val="24"/>
          <w:szCs w:val="24"/>
        </w:rPr>
      </w:pPr>
    </w:p>
    <w:p w14:paraId="05717593" w14:textId="77777777" w:rsidR="004404A3" w:rsidRDefault="004404A3" w:rsidP="004404A3">
      <w:pPr>
        <w:spacing w:after="0" w:line="240" w:lineRule="auto"/>
        <w:jc w:val="both"/>
        <w:rPr>
          <w:rFonts w:ascii="Verdana" w:hAnsi="Verdana" w:cs="Arial"/>
          <w:b/>
          <w:bCs/>
          <w:sz w:val="24"/>
          <w:szCs w:val="24"/>
        </w:rPr>
      </w:pPr>
      <w:r>
        <w:rPr>
          <w:rFonts w:ascii="Verdana" w:hAnsi="Verdana" w:cs="Arial"/>
          <w:b/>
          <w:bCs/>
          <w:sz w:val="24"/>
          <w:szCs w:val="24"/>
        </w:rPr>
        <w:t>Investigation by the Welsh Language Commissioner</w:t>
      </w:r>
    </w:p>
    <w:p w14:paraId="4880CE0C" w14:textId="77777777" w:rsidR="00362AC1"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Ongoing work is taking place supported by the Welsh Language Team at Cwm Taf Morgannwg UHB. </w:t>
      </w:r>
    </w:p>
    <w:p w14:paraId="5FDED2E0" w14:textId="35F30E85"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lastRenderedPageBreak/>
        <w:t>The Commissioner has asked that changes are made to the website software and work has started with Digital Health and Care Wales to ensure this is completed.</w:t>
      </w:r>
    </w:p>
    <w:p w14:paraId="024CD1B1" w14:textId="77777777" w:rsidR="004404A3" w:rsidRDefault="004404A3" w:rsidP="004404A3">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A further update will be provided at a future meeting. </w:t>
      </w:r>
    </w:p>
    <w:p w14:paraId="58151F82" w14:textId="77777777" w:rsidR="004404A3" w:rsidRDefault="004404A3" w:rsidP="004404A3">
      <w:pPr>
        <w:spacing w:after="0" w:line="240" w:lineRule="auto"/>
        <w:jc w:val="both"/>
        <w:rPr>
          <w:rFonts w:ascii="Verdana" w:hAnsi="Verdana" w:cs="Arial"/>
          <w:sz w:val="24"/>
          <w:szCs w:val="24"/>
        </w:rPr>
      </w:pPr>
    </w:p>
    <w:p w14:paraId="4796187C" w14:textId="6701E07E" w:rsidR="002C7963" w:rsidRPr="002C7963" w:rsidRDefault="002C7963" w:rsidP="00E21D49">
      <w:pPr>
        <w:spacing w:after="0" w:line="240" w:lineRule="auto"/>
        <w:jc w:val="both"/>
        <w:rPr>
          <w:rFonts w:ascii="Verdana" w:hAnsi="Verdana" w:cs="Arial"/>
          <w:b/>
          <w:bCs/>
          <w:sz w:val="24"/>
          <w:szCs w:val="24"/>
        </w:rPr>
      </w:pPr>
      <w:r w:rsidRPr="002C7963">
        <w:rPr>
          <w:rFonts w:ascii="Verdana" w:hAnsi="Verdana" w:cs="Arial"/>
          <w:b/>
          <w:bCs/>
          <w:sz w:val="24"/>
          <w:szCs w:val="24"/>
        </w:rPr>
        <w:t>Key organisational contacts</w:t>
      </w:r>
    </w:p>
    <w:p w14:paraId="07C3D781" w14:textId="014EBF0B" w:rsidR="001B41F0" w:rsidRDefault="00164597" w:rsidP="001B41F0">
      <w:pPr>
        <w:pStyle w:val="ListParagraph"/>
        <w:numPr>
          <w:ilvl w:val="1"/>
          <w:numId w:val="1"/>
        </w:numPr>
        <w:spacing w:after="0" w:line="240" w:lineRule="auto"/>
        <w:jc w:val="both"/>
        <w:rPr>
          <w:rFonts w:ascii="Verdana" w:hAnsi="Verdana" w:cs="Arial"/>
          <w:sz w:val="24"/>
          <w:szCs w:val="24"/>
        </w:rPr>
      </w:pPr>
      <w:r w:rsidRPr="00A75525">
        <w:rPr>
          <w:rFonts w:ascii="Verdana" w:hAnsi="Verdana" w:cs="Arial"/>
          <w:b/>
          <w:bCs/>
          <w:sz w:val="24"/>
          <w:szCs w:val="24"/>
        </w:rPr>
        <w:t xml:space="preserve">Appendix </w:t>
      </w:r>
      <w:r w:rsidR="00F8744F">
        <w:rPr>
          <w:rFonts w:ascii="Verdana" w:hAnsi="Verdana" w:cs="Arial"/>
          <w:b/>
          <w:bCs/>
          <w:sz w:val="24"/>
          <w:szCs w:val="24"/>
        </w:rPr>
        <w:t>4</w:t>
      </w:r>
      <w:r>
        <w:rPr>
          <w:rFonts w:ascii="Verdana" w:hAnsi="Verdana" w:cs="Arial"/>
          <w:sz w:val="24"/>
          <w:szCs w:val="24"/>
        </w:rPr>
        <w:t xml:space="preserve"> provides the EASC Key Organisational Contacts </w:t>
      </w:r>
      <w:r w:rsidR="00E21D49">
        <w:rPr>
          <w:rFonts w:ascii="Verdana" w:hAnsi="Verdana" w:cs="Arial"/>
          <w:sz w:val="24"/>
          <w:szCs w:val="24"/>
        </w:rPr>
        <w:t>which was received at the last EASC</w:t>
      </w:r>
      <w:r w:rsidR="001C3A95">
        <w:rPr>
          <w:rFonts w:ascii="Verdana" w:hAnsi="Verdana" w:cs="Arial"/>
          <w:sz w:val="24"/>
          <w:szCs w:val="24"/>
        </w:rPr>
        <w:t xml:space="preserve"> and</w:t>
      </w:r>
      <w:r w:rsidR="00E21D49">
        <w:rPr>
          <w:rFonts w:ascii="Verdana" w:hAnsi="Verdana" w:cs="Arial"/>
          <w:sz w:val="24"/>
          <w:szCs w:val="24"/>
        </w:rPr>
        <w:t xml:space="preserve"> </w:t>
      </w:r>
      <w:r w:rsidR="000E4ED0">
        <w:rPr>
          <w:rFonts w:ascii="Verdana" w:hAnsi="Verdana" w:cs="Arial"/>
          <w:sz w:val="24"/>
          <w:szCs w:val="24"/>
        </w:rPr>
        <w:t>M</w:t>
      </w:r>
      <w:r w:rsidR="00E21D49">
        <w:rPr>
          <w:rFonts w:ascii="Verdana" w:hAnsi="Verdana" w:cs="Arial"/>
          <w:sz w:val="24"/>
          <w:szCs w:val="24"/>
        </w:rPr>
        <w:t>embers are asked to note</w:t>
      </w:r>
      <w:r w:rsidR="00F13F28">
        <w:rPr>
          <w:rFonts w:ascii="Verdana" w:hAnsi="Verdana" w:cs="Arial"/>
          <w:sz w:val="24"/>
          <w:szCs w:val="24"/>
        </w:rPr>
        <w:t xml:space="preserve"> the contacts</w:t>
      </w:r>
      <w:r w:rsidR="00865189">
        <w:rPr>
          <w:rFonts w:ascii="Verdana" w:hAnsi="Verdana" w:cs="Arial"/>
          <w:sz w:val="24"/>
          <w:szCs w:val="24"/>
        </w:rPr>
        <w:t xml:space="preserve"> and provide updates where applicable</w:t>
      </w:r>
      <w:r w:rsidR="00E21D49">
        <w:rPr>
          <w:rFonts w:ascii="Verdana" w:hAnsi="Verdana" w:cs="Arial"/>
          <w:sz w:val="24"/>
          <w:szCs w:val="24"/>
        </w:rPr>
        <w:t>.</w:t>
      </w:r>
    </w:p>
    <w:p w14:paraId="4503A6D2" w14:textId="5082226E" w:rsidR="00362AC1" w:rsidRDefault="00362AC1" w:rsidP="00362AC1">
      <w:pPr>
        <w:spacing w:after="0" w:line="240" w:lineRule="auto"/>
        <w:jc w:val="both"/>
        <w:rPr>
          <w:rFonts w:ascii="Verdana" w:hAnsi="Verdana" w:cs="Arial"/>
          <w:sz w:val="24"/>
          <w:szCs w:val="24"/>
        </w:rPr>
      </w:pPr>
    </w:p>
    <w:p w14:paraId="2B6FACA8" w14:textId="7DB50EA6" w:rsidR="00362AC1" w:rsidRPr="00362AC1" w:rsidRDefault="00362AC1" w:rsidP="00362AC1">
      <w:pPr>
        <w:spacing w:after="0" w:line="240" w:lineRule="auto"/>
        <w:jc w:val="both"/>
        <w:rPr>
          <w:rFonts w:ascii="Verdana" w:hAnsi="Verdana" w:cs="Arial"/>
          <w:b/>
          <w:bCs/>
          <w:sz w:val="24"/>
          <w:szCs w:val="24"/>
        </w:rPr>
      </w:pPr>
      <w:r w:rsidRPr="00362AC1">
        <w:rPr>
          <w:rFonts w:ascii="Verdana" w:hAnsi="Verdana" w:cs="Arial"/>
          <w:b/>
          <w:bCs/>
          <w:sz w:val="24"/>
          <w:szCs w:val="24"/>
        </w:rPr>
        <w:t>Sub Group Annual Reports (for approval)</w:t>
      </w:r>
    </w:p>
    <w:p w14:paraId="5A8C3AD6" w14:textId="188AB005" w:rsidR="00362AC1" w:rsidRDefault="00362AC1"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aim of the Annual Reports is to provide an overview of the business undertaken by the EASC Sub Groups. </w:t>
      </w:r>
    </w:p>
    <w:p w14:paraId="0142F8C8" w14:textId="14C812F7" w:rsidR="00362AC1" w:rsidRDefault="00362AC1"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Emergency Medical Retrieval and Transfer Service Delivery Assurance Group Annual Report for 2022-2023 is attached at </w:t>
      </w:r>
      <w:r w:rsidRPr="00362AC1">
        <w:rPr>
          <w:rFonts w:ascii="Verdana" w:hAnsi="Verdana" w:cs="Arial"/>
          <w:b/>
          <w:bCs/>
          <w:sz w:val="24"/>
          <w:szCs w:val="24"/>
        </w:rPr>
        <w:t>Appendix 5</w:t>
      </w:r>
      <w:r>
        <w:rPr>
          <w:rFonts w:ascii="Verdana" w:hAnsi="Verdana" w:cs="Arial"/>
          <w:sz w:val="24"/>
          <w:szCs w:val="24"/>
        </w:rPr>
        <w:t>.</w:t>
      </w:r>
    </w:p>
    <w:p w14:paraId="5CB6CF91" w14:textId="705CF85B" w:rsidR="00362AC1" w:rsidRDefault="00362AC1"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Non-Emergency Patient Transport Services Delivery Assurance Group (NEPTS DAG) Annual Report for 2022-203 is attached at </w:t>
      </w:r>
      <w:r w:rsidRPr="00362AC1">
        <w:rPr>
          <w:rFonts w:ascii="Verdana" w:hAnsi="Verdana" w:cs="Arial"/>
          <w:b/>
          <w:bCs/>
          <w:sz w:val="24"/>
          <w:szCs w:val="24"/>
        </w:rPr>
        <w:t>Appendix 6</w:t>
      </w:r>
      <w:r>
        <w:rPr>
          <w:rFonts w:ascii="Verdana" w:hAnsi="Verdana" w:cs="Arial"/>
          <w:sz w:val="24"/>
          <w:szCs w:val="24"/>
        </w:rPr>
        <w:t>.</w:t>
      </w:r>
    </w:p>
    <w:p w14:paraId="39B0B9FD" w14:textId="4FB8D4CE" w:rsidR="00362AC1" w:rsidRDefault="00362AC1"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There are no concerns related to governance to report for either of the sub groups and they are operating within their scope and terms of reference.</w:t>
      </w:r>
    </w:p>
    <w:p w14:paraId="17CF5E72" w14:textId="77777777" w:rsidR="00362AC1" w:rsidRPr="00362AC1" w:rsidRDefault="00362AC1" w:rsidP="00362AC1">
      <w:pPr>
        <w:spacing w:after="0" w:line="240" w:lineRule="auto"/>
        <w:jc w:val="both"/>
        <w:rPr>
          <w:rFonts w:ascii="Verdana" w:hAnsi="Verdana" w:cs="Arial"/>
          <w:sz w:val="24"/>
          <w:szCs w:val="24"/>
        </w:rPr>
      </w:pPr>
    </w:p>
    <w:p w14:paraId="2C09B110" w14:textId="2F2BADF1" w:rsidR="005E3C47" w:rsidRPr="00001076" w:rsidRDefault="005E3C47" w:rsidP="005E3C47">
      <w:pPr>
        <w:spacing w:after="0" w:line="240" w:lineRule="auto"/>
        <w:jc w:val="both"/>
        <w:rPr>
          <w:rFonts w:ascii="Verdana" w:hAnsi="Verdana" w:cs="Arial"/>
          <w:b/>
          <w:bCs/>
          <w:sz w:val="24"/>
          <w:szCs w:val="24"/>
        </w:rPr>
      </w:pPr>
      <w:r w:rsidRPr="00001076">
        <w:rPr>
          <w:rFonts w:ascii="Verdana" w:hAnsi="Verdana" w:cs="Arial"/>
          <w:b/>
          <w:bCs/>
          <w:noProof/>
          <w:sz w:val="24"/>
          <w:szCs w:val="24"/>
        </w:rPr>
        <w:t>Audit and Risk Committee (Cwm Taf Morgannwg)</w:t>
      </w:r>
      <w:r>
        <w:rPr>
          <w:rFonts w:ascii="Verdana" w:hAnsi="Verdana" w:cs="Arial"/>
          <w:b/>
          <w:bCs/>
          <w:noProof/>
          <w:sz w:val="24"/>
          <w:szCs w:val="24"/>
        </w:rPr>
        <w:t xml:space="preserve"> for assurance</w:t>
      </w:r>
    </w:p>
    <w:p w14:paraId="0ADA7919" w14:textId="6210C82A" w:rsidR="005E3C47" w:rsidRDefault="005E3C47" w:rsidP="005E3C4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 summary is attached at </w:t>
      </w:r>
      <w:r w:rsidRPr="00001076">
        <w:rPr>
          <w:rFonts w:ascii="Verdana" w:hAnsi="Verdana" w:cs="Arial"/>
          <w:b/>
          <w:bCs/>
          <w:sz w:val="24"/>
          <w:szCs w:val="24"/>
        </w:rPr>
        <w:t xml:space="preserve">Appendix </w:t>
      </w:r>
      <w:r w:rsidR="006D12AC">
        <w:rPr>
          <w:rFonts w:ascii="Verdana" w:hAnsi="Verdana" w:cs="Arial"/>
          <w:b/>
          <w:bCs/>
          <w:sz w:val="24"/>
          <w:szCs w:val="24"/>
        </w:rPr>
        <w:t>7</w:t>
      </w:r>
      <w:r>
        <w:rPr>
          <w:rFonts w:ascii="Verdana" w:hAnsi="Verdana" w:cs="Arial"/>
          <w:sz w:val="24"/>
          <w:szCs w:val="24"/>
        </w:rPr>
        <w:t xml:space="preserve"> of the Audit and Risk Committee meeting which took place on </w:t>
      </w:r>
      <w:r w:rsidR="00087307">
        <w:rPr>
          <w:rFonts w:ascii="Verdana" w:hAnsi="Verdana" w:cs="Arial"/>
          <w:sz w:val="24"/>
          <w:szCs w:val="24"/>
        </w:rPr>
        <w:t>16 August</w:t>
      </w:r>
      <w:r>
        <w:rPr>
          <w:rFonts w:ascii="Verdana" w:hAnsi="Verdana" w:cs="Arial"/>
          <w:sz w:val="24"/>
          <w:szCs w:val="24"/>
        </w:rPr>
        <w:t xml:space="preserve"> 2023.  </w:t>
      </w:r>
    </w:p>
    <w:p w14:paraId="2C45D7A4" w14:textId="77777777" w:rsidR="005E3C47" w:rsidRPr="005E3C47" w:rsidRDefault="005E3C47" w:rsidP="005E3C47">
      <w:pPr>
        <w:spacing w:after="0" w:line="240" w:lineRule="auto"/>
        <w:jc w:val="both"/>
        <w:rPr>
          <w:rFonts w:ascii="Verdana" w:hAnsi="Verdana" w:cs="Arial"/>
          <w:sz w:val="24"/>
          <w:szCs w:val="24"/>
        </w:rPr>
      </w:pPr>
    </w:p>
    <w:p w14:paraId="739A8441" w14:textId="2B246691" w:rsidR="002F3A0D"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003862EC">
        <w:rPr>
          <w:rFonts w:ascii="Verdana" w:hAnsi="Verdana" w:cs="Arial"/>
          <w:b/>
          <w:sz w:val="24"/>
          <w:szCs w:val="24"/>
        </w:rPr>
        <w:t xml:space="preserve"> FOR ESCALATION</w:t>
      </w:r>
    </w:p>
    <w:p w14:paraId="22ABC85E" w14:textId="77777777" w:rsidR="0089167D" w:rsidRPr="00E23B12" w:rsidRDefault="0089167D" w:rsidP="0089167D">
      <w:pPr>
        <w:pStyle w:val="ListParagraph"/>
        <w:spacing w:after="0" w:line="240" w:lineRule="auto"/>
        <w:ind w:left="709"/>
        <w:rPr>
          <w:rFonts w:ascii="Verdana" w:hAnsi="Verdana" w:cs="Arial"/>
          <w:b/>
          <w:sz w:val="24"/>
          <w:szCs w:val="24"/>
        </w:rPr>
      </w:pPr>
    </w:p>
    <w:p w14:paraId="466E5C44"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color w:val="000000" w:themeColor="text1"/>
          <w:sz w:val="24"/>
          <w:szCs w:val="24"/>
        </w:rPr>
        <w:t xml:space="preserve">The updated EASC risk register captures the key actions being taken to mitigate and control the risks relating to red performance.  </w:t>
      </w:r>
      <w:r>
        <w:rPr>
          <w:rFonts w:ascii="Verdana" w:hAnsi="Verdana" w:cs="Tahoma"/>
          <w:bCs/>
          <w:sz w:val="24"/>
          <w:szCs w:val="24"/>
        </w:rPr>
        <w:t>Additional information had been included and related to the ongoing system pressures and the impact on patients and the increasing risk of harm.</w:t>
      </w:r>
    </w:p>
    <w:p w14:paraId="12D6866E" w14:textId="77777777" w:rsidR="004B52EA" w:rsidRDefault="004B52EA" w:rsidP="004B52EA">
      <w:pPr>
        <w:pStyle w:val="ListParagraph"/>
        <w:spacing w:after="0" w:line="240" w:lineRule="auto"/>
        <w:jc w:val="both"/>
        <w:rPr>
          <w:rFonts w:ascii="Verdana" w:hAnsi="Verdana" w:cs="Arial"/>
          <w:sz w:val="24"/>
          <w:szCs w:val="24"/>
        </w:rPr>
      </w:pPr>
    </w:p>
    <w:p w14:paraId="4AEFE8C0" w14:textId="7B92E437" w:rsidR="004B52EA" w:rsidRPr="00F8744F"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color w:val="000000" w:themeColor="text1"/>
          <w:sz w:val="24"/>
          <w:szCs w:val="24"/>
        </w:rPr>
        <w:t xml:space="preserve">The controls that are in place are included in the WAST Performance Improvement Plan (PIP) and the EASC Action Plan </w:t>
      </w:r>
      <w:r w:rsidR="00087307">
        <w:rPr>
          <w:rFonts w:ascii="Verdana" w:hAnsi="Verdana" w:cs="Arial"/>
          <w:color w:val="000000" w:themeColor="text1"/>
          <w:sz w:val="24"/>
          <w:szCs w:val="24"/>
        </w:rPr>
        <w:t xml:space="preserve">/ ICAP meetings </w:t>
      </w:r>
      <w:r>
        <w:rPr>
          <w:rFonts w:ascii="Verdana" w:hAnsi="Verdana" w:cs="Arial"/>
          <w:color w:val="000000" w:themeColor="text1"/>
          <w:sz w:val="24"/>
          <w:szCs w:val="24"/>
        </w:rPr>
        <w:t>coordinated by the Chief Ambulance Services Commissioner (CASC) these are monitored at:</w:t>
      </w:r>
    </w:p>
    <w:p w14:paraId="70C0EFD4" w14:textId="77777777"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 xml:space="preserve">bi-monthly Quality and Delivery meetings between the EASC Team and WAST.  </w:t>
      </w:r>
    </w:p>
    <w:p w14:paraId="34BD8F4D" w14:textId="77777777"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t>The PIP focuses on the actions being taken by WAST to mitigate risks and to increase capacity and emergency ambulance performance including red performance</w:t>
      </w:r>
    </w:p>
    <w:p w14:paraId="672F5D67" w14:textId="4D4A0020" w:rsidR="004B52EA" w:rsidRDefault="004B52EA" w:rsidP="004B52EA">
      <w:pPr>
        <w:pStyle w:val="ListParagraph"/>
        <w:numPr>
          <w:ilvl w:val="0"/>
          <w:numId w:val="47"/>
        </w:numPr>
        <w:spacing w:after="0" w:line="240" w:lineRule="auto"/>
        <w:jc w:val="both"/>
        <w:rPr>
          <w:rFonts w:ascii="Verdana" w:hAnsi="Verdana" w:cs="Arial"/>
          <w:color w:val="000000" w:themeColor="text1"/>
          <w:sz w:val="24"/>
          <w:szCs w:val="24"/>
        </w:rPr>
      </w:pPr>
      <w:r>
        <w:rPr>
          <w:rFonts w:ascii="Verdana" w:hAnsi="Verdana" w:cs="Arial"/>
          <w:color w:val="000000" w:themeColor="text1"/>
          <w:sz w:val="24"/>
          <w:szCs w:val="24"/>
        </w:rPr>
        <w:lastRenderedPageBreak/>
        <w:t>monthly meetings with Welsh Government officials with a focus on the actions being taken across the urgent and emergency care system (including the commissioning of additional emergency ambulance clinician capacity, system escalation and demand management).</w:t>
      </w:r>
    </w:p>
    <w:p w14:paraId="2AF3A611" w14:textId="77777777" w:rsidR="00087307" w:rsidRDefault="00087307" w:rsidP="00087307">
      <w:pPr>
        <w:pStyle w:val="ListParagraph"/>
        <w:spacing w:after="0" w:line="240" w:lineRule="auto"/>
        <w:ind w:left="1080"/>
        <w:jc w:val="both"/>
        <w:rPr>
          <w:rFonts w:ascii="Verdana" w:hAnsi="Verdana" w:cs="Arial"/>
          <w:color w:val="000000" w:themeColor="text1"/>
          <w:sz w:val="24"/>
          <w:szCs w:val="24"/>
        </w:rPr>
      </w:pPr>
    </w:p>
    <w:p w14:paraId="0A7BAC91"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As reported above the work to mitigate and control the risks relating to red performance is ongoing with progress monitored on a commissioner-provider level, via the EASC governance arrangements and also with oversight by Welsh Government. </w:t>
      </w:r>
    </w:p>
    <w:p w14:paraId="4597FF82" w14:textId="77777777" w:rsidR="004B52EA" w:rsidRDefault="004B52EA" w:rsidP="004B52EA">
      <w:pPr>
        <w:pStyle w:val="ListParagraph"/>
        <w:spacing w:after="0" w:line="240" w:lineRule="auto"/>
        <w:jc w:val="both"/>
        <w:rPr>
          <w:rFonts w:ascii="Verdana" w:hAnsi="Verdana" w:cs="Arial"/>
          <w:sz w:val="24"/>
          <w:szCs w:val="24"/>
        </w:rPr>
      </w:pPr>
    </w:p>
    <w:p w14:paraId="7331E6FB"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Members should note that the Integrated Commissioning Action Plan meetings continue to take place between the EASC Team, key operational health board staff and WAST to further develop and monitor progress of health board handover improvement plans. </w:t>
      </w:r>
      <w:r>
        <w:rPr>
          <w:rFonts w:ascii="Verdana" w:hAnsi="Verdana"/>
          <w:sz w:val="24"/>
          <w:szCs w:val="24"/>
        </w:rPr>
        <w:t xml:space="preserve">The process to date has delivered: </w:t>
      </w:r>
    </w:p>
    <w:p w14:paraId="5C771355"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Collaborative Infrastructure to develop thinking, identify innovation and establish local commissioning arrangements for emergency ambulance services</w:t>
      </w:r>
    </w:p>
    <w:p w14:paraId="5F2D904C"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Local ambulance handover improvement plans for each local health board in Wales</w:t>
      </w:r>
    </w:p>
    <w:p w14:paraId="7205AD71"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 xml:space="preserve">Commitment through board structures to deliver ambulance handover actions operationally </w:t>
      </w:r>
    </w:p>
    <w:p w14:paraId="5EDBAF3A"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An all Wales composite handover delay plan that identifies similarity and areas for targeted investment  </w:t>
      </w:r>
    </w:p>
    <w:p w14:paraId="2CDE228E"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Weekly dashboards to support and monitor performance against agreed trajectories</w:t>
      </w:r>
    </w:p>
    <w:p w14:paraId="60E07D4C" w14:textId="77777777" w:rsidR="004B52EA" w:rsidRDefault="004B52EA" w:rsidP="004B52EA">
      <w:pPr>
        <w:pStyle w:val="ListParagraph"/>
        <w:numPr>
          <w:ilvl w:val="0"/>
          <w:numId w:val="48"/>
        </w:numPr>
        <w:spacing w:after="0" w:line="240" w:lineRule="auto"/>
        <w:jc w:val="both"/>
        <w:rPr>
          <w:rFonts w:ascii="Verdana" w:hAnsi="Verdana"/>
          <w:sz w:val="24"/>
          <w:szCs w:val="24"/>
        </w:rPr>
      </w:pPr>
      <w:r>
        <w:rPr>
          <w:rFonts w:ascii="Verdana" w:hAnsi="Verdana"/>
          <w:sz w:val="24"/>
          <w:szCs w:val="24"/>
        </w:rPr>
        <w:t xml:space="preserve">Internal Audit have recently provided substantial assurance on the process and the report will be taken through the EASC governance routes. </w:t>
      </w:r>
    </w:p>
    <w:p w14:paraId="1F33B30A" w14:textId="77777777" w:rsidR="004B52EA" w:rsidRDefault="004B52EA" w:rsidP="004B52EA">
      <w:pPr>
        <w:pStyle w:val="ListParagraph"/>
        <w:spacing w:after="0" w:line="240" w:lineRule="auto"/>
        <w:jc w:val="both"/>
        <w:rPr>
          <w:rFonts w:ascii="Verdana" w:hAnsi="Verdana" w:cs="Arial"/>
          <w:sz w:val="24"/>
          <w:szCs w:val="24"/>
        </w:rPr>
      </w:pPr>
    </w:p>
    <w:p w14:paraId="1D6845BA" w14:textId="6FC028E2"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Arial"/>
          <w:sz w:val="24"/>
          <w:szCs w:val="24"/>
        </w:rPr>
        <w:t xml:space="preserve">Work is being continued to deliver Goal 4 for the Six Goals for Urgent and Emergency Care Programme (Goal 4 lead Stephen Harrhy). </w:t>
      </w:r>
      <w:r>
        <w:rPr>
          <w:rFonts w:ascii="Verdana" w:hAnsi="Verdana"/>
          <w:sz w:val="24"/>
          <w:szCs w:val="24"/>
        </w:rPr>
        <w:t>The Integrated Commissioning Action Plans (</w:t>
      </w:r>
      <w:proofErr w:type="spellStart"/>
      <w:r>
        <w:rPr>
          <w:rFonts w:ascii="Verdana" w:hAnsi="Verdana"/>
          <w:sz w:val="24"/>
          <w:szCs w:val="24"/>
        </w:rPr>
        <w:t>iCAPS</w:t>
      </w:r>
      <w:proofErr w:type="spellEnd"/>
      <w:r>
        <w:rPr>
          <w:rFonts w:ascii="Verdana" w:hAnsi="Verdana"/>
          <w:sz w:val="24"/>
          <w:szCs w:val="24"/>
        </w:rPr>
        <w:t>) for each health board have been developed and will support the national delivery of Goal 4</w:t>
      </w:r>
      <w:r w:rsidR="00F8744F">
        <w:rPr>
          <w:rFonts w:ascii="Verdana" w:hAnsi="Verdana"/>
          <w:sz w:val="24"/>
          <w:szCs w:val="24"/>
        </w:rPr>
        <w:t>.</w:t>
      </w:r>
      <w:r>
        <w:rPr>
          <w:rFonts w:ascii="Verdana" w:hAnsi="Verdana"/>
          <w:sz w:val="24"/>
          <w:szCs w:val="24"/>
        </w:rPr>
        <w:t xml:space="preserve"> </w:t>
      </w:r>
    </w:p>
    <w:p w14:paraId="4447A1CC" w14:textId="77777777" w:rsidR="004B52EA" w:rsidRDefault="004B52EA" w:rsidP="004B52EA">
      <w:pPr>
        <w:pStyle w:val="ListParagraph"/>
        <w:spacing w:after="0" w:line="240" w:lineRule="auto"/>
        <w:jc w:val="both"/>
        <w:rPr>
          <w:rFonts w:ascii="Verdana" w:hAnsi="Verdana" w:cs="Arial"/>
          <w:sz w:val="24"/>
          <w:szCs w:val="24"/>
        </w:rPr>
      </w:pPr>
    </w:p>
    <w:p w14:paraId="0B16F5EA"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sz w:val="24"/>
          <w:szCs w:val="24"/>
        </w:rPr>
        <w:t>Work is continuing to quantify the level of harm to patients and concerns regarding the safety of patients due to the number of handover delays and lost hours in the previous six months, although these have reduced.</w:t>
      </w:r>
    </w:p>
    <w:p w14:paraId="0AE4CD94" w14:textId="77777777" w:rsidR="004B52EA" w:rsidRDefault="004B52EA" w:rsidP="004B52EA">
      <w:pPr>
        <w:spacing w:after="0" w:line="240" w:lineRule="auto"/>
        <w:jc w:val="both"/>
        <w:rPr>
          <w:rFonts w:ascii="Verdana" w:hAnsi="Verdana" w:cs="Arial"/>
          <w:sz w:val="24"/>
          <w:szCs w:val="24"/>
        </w:rPr>
      </w:pPr>
    </w:p>
    <w:p w14:paraId="4053CCEC" w14:textId="77777777" w:rsidR="004B52EA" w:rsidRDefault="004B52EA" w:rsidP="004B52EA">
      <w:pPr>
        <w:pStyle w:val="ListParagraph"/>
        <w:numPr>
          <w:ilvl w:val="1"/>
          <w:numId w:val="43"/>
        </w:numPr>
        <w:spacing w:after="0" w:line="240" w:lineRule="auto"/>
        <w:jc w:val="both"/>
        <w:rPr>
          <w:rFonts w:ascii="Verdana" w:hAnsi="Verdana" w:cs="Arial"/>
          <w:sz w:val="24"/>
          <w:szCs w:val="24"/>
        </w:rPr>
      </w:pPr>
      <w:r>
        <w:rPr>
          <w:rFonts w:ascii="Verdana" w:hAnsi="Verdana" w:cs="Tahoma"/>
          <w:bCs/>
          <w:sz w:val="24"/>
          <w:szCs w:val="24"/>
        </w:rPr>
        <w:t>Further updates will be provided in relation to the investigation by the Welsh Language Commissioner.</w:t>
      </w:r>
    </w:p>
    <w:p w14:paraId="3842222B" w14:textId="603696DE" w:rsidR="00F8744F" w:rsidRDefault="00F8744F" w:rsidP="004B52EA">
      <w:pPr>
        <w:pStyle w:val="ListParagraph"/>
        <w:spacing w:after="0" w:line="240" w:lineRule="auto"/>
        <w:jc w:val="both"/>
        <w:rPr>
          <w:rFonts w:ascii="Verdana" w:hAnsi="Verdana" w:cs="Arial"/>
          <w:sz w:val="24"/>
          <w:szCs w:val="24"/>
        </w:rPr>
      </w:pPr>
    </w:p>
    <w:p w14:paraId="2946A16F" w14:textId="77777777" w:rsidR="00087307" w:rsidRDefault="00087307" w:rsidP="004B52EA">
      <w:pPr>
        <w:pStyle w:val="ListParagraph"/>
        <w:spacing w:after="0" w:line="240" w:lineRule="auto"/>
        <w:jc w:val="both"/>
        <w:rPr>
          <w:rFonts w:ascii="Verdana" w:hAnsi="Verdana" w:cs="Arial"/>
          <w:sz w:val="24"/>
          <w:szCs w:val="24"/>
        </w:rPr>
      </w:pP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tbl>
      <w:tblPr>
        <w:tblStyle w:val="TableGrid"/>
        <w:tblW w:w="9923" w:type="dxa"/>
        <w:tblInd w:w="-5" w:type="dxa"/>
        <w:tblLayout w:type="fixed"/>
        <w:tblLook w:val="04A0" w:firstRow="1" w:lastRow="0" w:firstColumn="1" w:lastColumn="0" w:noHBand="0" w:noVBand="1"/>
      </w:tblPr>
      <w:tblGrid>
        <w:gridCol w:w="4111"/>
        <w:gridCol w:w="5812"/>
      </w:tblGrid>
      <w:tr w:rsidR="002C7963" w:rsidRPr="00E23B12" w14:paraId="6CA1E328" w14:textId="77777777" w:rsidTr="00AE477D">
        <w:trPr>
          <w:trHeight w:val="213"/>
        </w:trPr>
        <w:tc>
          <w:tcPr>
            <w:tcW w:w="4111" w:type="dxa"/>
            <w:vMerge w:val="restart"/>
            <w:shd w:val="clear" w:color="auto" w:fill="F2F2F2" w:themeFill="background1" w:themeFillShade="F2"/>
            <w:vAlign w:val="center"/>
          </w:tcPr>
          <w:p w14:paraId="5091D337" w14:textId="77777777" w:rsidR="002C7963" w:rsidRPr="00E23B12" w:rsidRDefault="002C7963"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DEE60CAAA5F46E0A8A0C7A1C9F2E7F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0560C63E" w14:textId="00A8A156" w:rsidR="002C7963" w:rsidRPr="00E23B12" w:rsidRDefault="002C7963" w:rsidP="00344184">
                <w:pPr>
                  <w:jc w:val="both"/>
                  <w:rPr>
                    <w:rFonts w:ascii="Verdana" w:hAnsi="Verdana" w:cs="Arial"/>
                    <w:sz w:val="24"/>
                    <w:szCs w:val="24"/>
                  </w:rPr>
                </w:pPr>
                <w:r>
                  <w:rPr>
                    <w:rFonts w:ascii="Verdana" w:hAnsi="Verdana" w:cs="Arial"/>
                    <w:sz w:val="24"/>
                    <w:szCs w:val="24"/>
                  </w:rPr>
                  <w:t>Yes (Please see detail below)</w:t>
                </w:r>
              </w:p>
            </w:tc>
          </w:sdtContent>
        </w:sdt>
      </w:tr>
      <w:tr w:rsidR="002C7963" w:rsidRPr="00E23B12" w14:paraId="55BAD51C" w14:textId="77777777" w:rsidTr="00F8744F">
        <w:trPr>
          <w:trHeight w:val="416"/>
        </w:trPr>
        <w:tc>
          <w:tcPr>
            <w:tcW w:w="4111" w:type="dxa"/>
            <w:vMerge/>
            <w:shd w:val="clear" w:color="auto" w:fill="F2F2F2" w:themeFill="background1" w:themeFillShade="F2"/>
            <w:vAlign w:val="center"/>
          </w:tcPr>
          <w:p w14:paraId="35F7E859" w14:textId="77777777" w:rsidR="002C7963" w:rsidRDefault="002C7963" w:rsidP="00E55D6E">
            <w:pPr>
              <w:rPr>
                <w:rFonts w:ascii="Verdana" w:hAnsi="Verdana" w:cs="Arial"/>
                <w:b/>
                <w:sz w:val="24"/>
                <w:szCs w:val="24"/>
              </w:rPr>
            </w:pPr>
          </w:p>
        </w:tc>
        <w:tc>
          <w:tcPr>
            <w:tcW w:w="5812" w:type="dxa"/>
            <w:vAlign w:val="center"/>
          </w:tcPr>
          <w:p w14:paraId="02997F71" w14:textId="1AE984A6" w:rsidR="00DF1798" w:rsidRPr="001C3A95" w:rsidRDefault="002C7963" w:rsidP="00344184">
            <w:pPr>
              <w:jc w:val="both"/>
              <w:rPr>
                <w:rStyle w:val="Style31"/>
                <w:rFonts w:ascii="Verdana" w:eastAsia="Times New Roman" w:hAnsi="Verdana" w:cs="Calibri"/>
                <w:sz w:val="24"/>
                <w:szCs w:val="24"/>
                <w:lang w:val="en-GB" w:eastAsia="en-GB"/>
              </w:rPr>
            </w:pPr>
            <w:r>
              <w:rPr>
                <w:rStyle w:val="Style31"/>
                <w:rFonts w:ascii="Verdana" w:hAnsi="Verdana"/>
                <w:sz w:val="24"/>
                <w:szCs w:val="24"/>
              </w:rPr>
              <w:t xml:space="preserve">The impact of red and amber performance and the </w:t>
            </w:r>
            <w:r w:rsidR="00321DD4">
              <w:rPr>
                <w:rStyle w:val="Style31"/>
                <w:rFonts w:ascii="Verdana" w:hAnsi="Verdana"/>
                <w:sz w:val="24"/>
                <w:szCs w:val="24"/>
              </w:rPr>
              <w:t xml:space="preserve">extremely </w:t>
            </w:r>
            <w:r>
              <w:rPr>
                <w:rStyle w:val="Style31"/>
                <w:rFonts w:ascii="Verdana" w:hAnsi="Verdana"/>
                <w:sz w:val="24"/>
                <w:szCs w:val="24"/>
              </w:rPr>
              <w:t xml:space="preserve">high levels of handover delays will inevitably affect the patient experience </w:t>
            </w:r>
            <w:r w:rsidR="00F13F28">
              <w:rPr>
                <w:rStyle w:val="Style31"/>
                <w:rFonts w:ascii="Verdana" w:hAnsi="Verdana"/>
                <w:sz w:val="24"/>
                <w:szCs w:val="24"/>
              </w:rPr>
              <w:t xml:space="preserve">with </w:t>
            </w:r>
            <w:r w:rsidR="00F13F28" w:rsidRPr="00F4533D">
              <w:rPr>
                <w:rFonts w:ascii="Verdana" w:eastAsia="Times New Roman" w:hAnsi="Verdana" w:cs="Calibri"/>
                <w:sz w:val="24"/>
                <w:szCs w:val="24"/>
                <w:lang w:val="en-GB" w:eastAsia="en-GB"/>
              </w:rPr>
              <w:t>increased likelihood of harm, disability and death</w:t>
            </w:r>
          </w:p>
        </w:tc>
      </w:tr>
      <w:tr w:rsidR="00C52F2D" w:rsidRPr="00E23B12" w14:paraId="7489DFAC" w14:textId="77777777" w:rsidTr="00AE477D">
        <w:trPr>
          <w:trHeight w:val="295"/>
        </w:trPr>
        <w:tc>
          <w:tcPr>
            <w:tcW w:w="4111" w:type="dxa"/>
            <w:shd w:val="clear" w:color="auto" w:fill="F2F2F2" w:themeFill="background1" w:themeFillShade="F2"/>
            <w:vAlign w:val="center"/>
          </w:tcPr>
          <w:p w14:paraId="19945CEF" w14:textId="12CB4EAA" w:rsidR="00DF1798"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26EA5"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AE477D">
        <w:trPr>
          <w:trHeight w:val="261"/>
        </w:trPr>
        <w:tc>
          <w:tcPr>
            <w:tcW w:w="4111" w:type="dxa"/>
            <w:shd w:val="clear" w:color="auto" w:fill="F2F2F2" w:themeFill="background1" w:themeFillShade="F2"/>
            <w:vAlign w:val="center"/>
          </w:tcPr>
          <w:p w14:paraId="6856B54E" w14:textId="0B929E30" w:rsidR="00DF1798"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496DFD"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26EA5">
                  <w:rPr>
                    <w:rStyle w:val="Style32"/>
                    <w:rFonts w:ascii="Verdana" w:hAnsi="Verdana"/>
                    <w:sz w:val="24"/>
                    <w:szCs w:val="24"/>
                  </w:rPr>
                  <w:t>Not required</w:t>
                </w:r>
              </w:sdtContent>
            </w:sdt>
          </w:p>
        </w:tc>
      </w:tr>
      <w:tr w:rsidR="007F0937" w:rsidRPr="00E23B12" w14:paraId="116BADC3" w14:textId="77777777" w:rsidTr="00262DC8">
        <w:trPr>
          <w:trHeight w:val="449"/>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262DC8">
        <w:trPr>
          <w:trHeight w:val="557"/>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3B90DE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AE477D">
        <w:trPr>
          <w:trHeight w:val="1766"/>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0B423A9" w14:textId="77777777" w:rsidTr="00262DC8">
        <w:trPr>
          <w:trHeight w:val="1287"/>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26EA5"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1C88623" w14:textId="34CEDB4F" w:rsidR="0089167D" w:rsidRPr="00AE477D" w:rsidRDefault="0089167D" w:rsidP="00344184">
      <w:pPr>
        <w:pStyle w:val="NoSpacing"/>
        <w:rPr>
          <w:rFonts w:ascii="Verdana" w:hAnsi="Verdana"/>
          <w:sz w:val="18"/>
          <w:szCs w:val="18"/>
        </w:rPr>
      </w:pPr>
    </w:p>
    <w:p w14:paraId="2AE003DC" w14:textId="3ABEB61A"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RECOMMENDATION</w:t>
      </w:r>
      <w:r w:rsidR="00DF4F54">
        <w:rPr>
          <w:rFonts w:ascii="Verdana" w:hAnsi="Verdana" w:cs="Arial"/>
          <w:b/>
          <w:sz w:val="24"/>
          <w:szCs w:val="24"/>
        </w:rPr>
        <w:t>S</w:t>
      </w:r>
      <w:r w:rsidRPr="00E23B12">
        <w:rPr>
          <w:rFonts w:ascii="Verdana" w:hAnsi="Verdana" w:cs="Arial"/>
          <w:b/>
          <w:sz w:val="24"/>
          <w:szCs w:val="24"/>
        </w:rPr>
        <w:t xml:space="preserve"> </w:t>
      </w:r>
    </w:p>
    <w:p w14:paraId="0CFA800A" w14:textId="48193E00"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102869">
        <w:rPr>
          <w:rFonts w:ascii="Verdana" w:hAnsi="Verdana" w:cs="Arial"/>
          <w:sz w:val="24"/>
          <w:szCs w:val="24"/>
        </w:rPr>
        <w:t>Emergency Ambulance Services Committee</w:t>
      </w:r>
      <w:r w:rsidR="00865189">
        <w:rPr>
          <w:rFonts w:ascii="Verdana" w:hAnsi="Verdana" w:cs="Arial"/>
          <w:sz w:val="24"/>
          <w:szCs w:val="24"/>
        </w:rPr>
        <w:t xml:space="preserve"> </w:t>
      </w:r>
      <w:r w:rsidRPr="001750A0">
        <w:rPr>
          <w:rFonts w:ascii="Verdana" w:hAnsi="Verdana" w:cs="Arial"/>
          <w:sz w:val="24"/>
          <w:szCs w:val="24"/>
        </w:rPr>
        <w:t>is asked to:</w:t>
      </w:r>
    </w:p>
    <w:p w14:paraId="36214793" w14:textId="15ABF08D" w:rsidR="00F8744F" w:rsidRDefault="0010286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APPROVE</w:t>
      </w:r>
      <w:r w:rsidR="00DF4F54">
        <w:rPr>
          <w:rFonts w:ascii="Verdana" w:hAnsi="Verdana" w:cs="Arial"/>
          <w:b/>
          <w:sz w:val="24"/>
          <w:szCs w:val="24"/>
        </w:rPr>
        <w:t xml:space="preserve"> </w:t>
      </w:r>
      <w:r w:rsidR="00262DC8">
        <w:rPr>
          <w:rFonts w:ascii="Verdana" w:hAnsi="Verdana" w:cs="Arial"/>
          <w:sz w:val="24"/>
          <w:szCs w:val="24"/>
        </w:rPr>
        <w:t>the</w:t>
      </w:r>
      <w:r w:rsidR="006F2AC9">
        <w:rPr>
          <w:rFonts w:ascii="Verdana" w:hAnsi="Verdana" w:cs="Arial"/>
          <w:sz w:val="24"/>
          <w:szCs w:val="24"/>
        </w:rPr>
        <w:t xml:space="preserve"> </w:t>
      </w:r>
      <w:r w:rsidR="00DF4F54">
        <w:rPr>
          <w:rFonts w:ascii="Verdana" w:hAnsi="Verdana" w:cs="Arial"/>
          <w:sz w:val="24"/>
          <w:szCs w:val="24"/>
        </w:rPr>
        <w:t>risk register</w:t>
      </w:r>
    </w:p>
    <w:p w14:paraId="777EE5F6" w14:textId="7F839F6C" w:rsidR="00865189" w:rsidRPr="00087307" w:rsidRDefault="0010286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APPROVE </w:t>
      </w:r>
      <w:r>
        <w:rPr>
          <w:rFonts w:ascii="Verdana" w:hAnsi="Verdana" w:cs="Arial"/>
          <w:sz w:val="24"/>
          <w:szCs w:val="24"/>
        </w:rPr>
        <w:t xml:space="preserve">the </w:t>
      </w:r>
      <w:r w:rsidR="00865189">
        <w:rPr>
          <w:rFonts w:ascii="Verdana" w:hAnsi="Verdana" w:cs="Arial"/>
          <w:bCs/>
          <w:sz w:val="24"/>
          <w:szCs w:val="24"/>
        </w:rPr>
        <w:t>EASC Assurance Framework</w:t>
      </w:r>
    </w:p>
    <w:p w14:paraId="7787E21A" w14:textId="7E6A9B96" w:rsidR="00087307" w:rsidRDefault="00087307"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APPROVE </w:t>
      </w:r>
      <w:r>
        <w:rPr>
          <w:rFonts w:ascii="Verdana" w:hAnsi="Verdana" w:cs="Arial"/>
          <w:bCs/>
          <w:sz w:val="24"/>
          <w:szCs w:val="24"/>
        </w:rPr>
        <w:t>the Model Standing Orders for onward circulation to all health boards</w:t>
      </w:r>
    </w:p>
    <w:p w14:paraId="3C1432DE" w14:textId="77777777" w:rsidR="00102869" w:rsidRPr="00262DC8" w:rsidRDefault="00102869" w:rsidP="00102869">
      <w:pPr>
        <w:pStyle w:val="ListParagraph"/>
        <w:numPr>
          <w:ilvl w:val="0"/>
          <w:numId w:val="23"/>
        </w:numPr>
        <w:spacing w:after="0" w:line="240" w:lineRule="auto"/>
        <w:jc w:val="both"/>
        <w:rPr>
          <w:rFonts w:ascii="Verdana" w:hAnsi="Verdana" w:cs="Arial"/>
          <w:sz w:val="24"/>
          <w:szCs w:val="24"/>
        </w:rPr>
      </w:pPr>
      <w:r w:rsidRPr="00262DC8">
        <w:rPr>
          <w:rFonts w:ascii="Verdana" w:hAnsi="Verdana" w:cs="Arial"/>
          <w:b/>
          <w:bCs/>
          <w:sz w:val="24"/>
          <w:szCs w:val="24"/>
        </w:rPr>
        <w:t xml:space="preserve">NOTE </w:t>
      </w:r>
      <w:r w:rsidRPr="00262DC8">
        <w:rPr>
          <w:rFonts w:ascii="Verdana" w:hAnsi="Verdana" w:cs="Arial"/>
          <w:sz w:val="24"/>
          <w:szCs w:val="24"/>
        </w:rPr>
        <w:t>the ongoing investigation by the Welsh Language Commissioner.</w:t>
      </w:r>
    </w:p>
    <w:p w14:paraId="591C8148" w14:textId="4ABF8B59" w:rsidR="00F8744F" w:rsidRPr="00496DFD" w:rsidRDefault="00602359" w:rsidP="00F8744F">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NOTE</w:t>
      </w:r>
      <w:r w:rsidR="00A75525">
        <w:rPr>
          <w:rFonts w:ascii="Verdana" w:hAnsi="Verdana" w:cs="Arial"/>
          <w:bCs/>
          <w:sz w:val="24"/>
          <w:szCs w:val="24"/>
        </w:rPr>
        <w:t xml:space="preserve"> the information within the EASC Key Organisational Contacts</w:t>
      </w:r>
    </w:p>
    <w:p w14:paraId="3151A32F" w14:textId="59241A88" w:rsidR="00496DFD" w:rsidRPr="00F8744F" w:rsidRDefault="00496DFD" w:rsidP="00F8744F">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APPROVE </w:t>
      </w:r>
      <w:r>
        <w:rPr>
          <w:rFonts w:ascii="Verdana" w:hAnsi="Verdana" w:cs="Arial"/>
          <w:bCs/>
          <w:sz w:val="24"/>
          <w:szCs w:val="24"/>
        </w:rPr>
        <w:t>the Annual Reports for 2022-23 for the two subgroups – the EMRTS DAG and the NEPTS DAG</w:t>
      </w:r>
    </w:p>
    <w:p w14:paraId="394769F8" w14:textId="1270F862" w:rsidR="00102869" w:rsidRPr="00496DFD" w:rsidRDefault="005E3C47" w:rsidP="000E76DF">
      <w:pPr>
        <w:pStyle w:val="ListParagraph"/>
        <w:numPr>
          <w:ilvl w:val="0"/>
          <w:numId w:val="23"/>
        </w:numPr>
        <w:spacing w:after="0" w:line="240" w:lineRule="auto"/>
        <w:jc w:val="both"/>
        <w:rPr>
          <w:rFonts w:ascii="Verdana" w:hAnsi="Verdana" w:cs="Arial"/>
          <w:sz w:val="24"/>
          <w:szCs w:val="24"/>
        </w:rPr>
      </w:pPr>
      <w:r w:rsidRPr="00496DFD">
        <w:rPr>
          <w:rFonts w:ascii="Verdana" w:hAnsi="Verdana" w:cs="Arial"/>
          <w:b/>
          <w:sz w:val="24"/>
          <w:szCs w:val="24"/>
        </w:rPr>
        <w:t xml:space="preserve">NOTE </w:t>
      </w:r>
      <w:r w:rsidRPr="00496DFD">
        <w:rPr>
          <w:rFonts w:ascii="Verdana" w:hAnsi="Verdana" w:cs="Arial"/>
          <w:bCs/>
          <w:sz w:val="24"/>
          <w:szCs w:val="24"/>
        </w:rPr>
        <w:t>the</w:t>
      </w:r>
      <w:r w:rsidR="00A87706" w:rsidRPr="00496DFD">
        <w:rPr>
          <w:rFonts w:ascii="Verdana" w:hAnsi="Verdana" w:cs="Arial"/>
          <w:bCs/>
          <w:sz w:val="24"/>
          <w:szCs w:val="24"/>
        </w:rPr>
        <w:t xml:space="preserve"> overview report from the Audit and Risk Committee at Cwm Taf Morgannwg for assurance</w:t>
      </w:r>
      <w:r w:rsidR="00496DFD">
        <w:rPr>
          <w:rFonts w:ascii="Verdana" w:hAnsi="Verdana" w:cs="Arial"/>
          <w:bCs/>
          <w:sz w:val="24"/>
          <w:szCs w:val="24"/>
        </w:rPr>
        <w:t>.</w:t>
      </w:r>
    </w:p>
    <w:sectPr w:rsidR="00102869" w:rsidRPr="00496DFD" w:rsidSect="00BA1AF1">
      <w:headerReference w:type="default" r:id="rId14"/>
      <w:footerReference w:type="default" r:id="rId15"/>
      <w:headerReference w:type="first" r:id="rId16"/>
      <w:footerReference w:type="first" r:id="rId17"/>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AF06A" w14:textId="77777777" w:rsidR="009C68A3" w:rsidRDefault="009C68A3" w:rsidP="003E43AD">
      <w:pPr>
        <w:spacing w:after="0" w:line="240" w:lineRule="auto"/>
      </w:pPr>
      <w:r>
        <w:separator/>
      </w:r>
    </w:p>
  </w:endnote>
  <w:endnote w:type="continuationSeparator" w:id="0">
    <w:p w14:paraId="5BE49DB9" w14:textId="77777777" w:rsidR="009C68A3" w:rsidRDefault="009C68A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0827F" w14:textId="77777777" w:rsidR="005802A6" w:rsidRPr="00344184" w:rsidRDefault="005802A6" w:rsidP="00E65705">
    <w:pPr>
      <w:pStyle w:val="Footer"/>
      <w:rPr>
        <w:sz w:val="2"/>
      </w:rPr>
    </w:pPr>
  </w:p>
  <w:tbl>
    <w:tblPr>
      <w:tblW w:w="10888" w:type="dxa"/>
      <w:tblInd w:w="-743" w:type="dxa"/>
      <w:tblBorders>
        <w:top w:val="single" w:sz="4" w:space="0" w:color="auto"/>
      </w:tblBorders>
      <w:tblLook w:val="00A0" w:firstRow="1" w:lastRow="0" w:firstColumn="1" w:lastColumn="0" w:noHBand="0" w:noVBand="0"/>
    </w:tblPr>
    <w:tblGrid>
      <w:gridCol w:w="4624"/>
      <w:gridCol w:w="1789"/>
      <w:gridCol w:w="4475"/>
    </w:tblGrid>
    <w:tr w:rsidR="002E64EB" w:rsidRPr="00CB5BFA" w14:paraId="05333671" w14:textId="77777777" w:rsidTr="001C3A95">
      <w:trPr>
        <w:trHeight w:val="270"/>
      </w:trPr>
      <w:tc>
        <w:tcPr>
          <w:tcW w:w="4624" w:type="dxa"/>
          <w:tcBorders>
            <w:top w:val="single" w:sz="4" w:space="0" w:color="auto"/>
          </w:tcBorders>
        </w:tcPr>
        <w:p w14:paraId="5DB3A684" w14:textId="77777777" w:rsidR="002E64EB" w:rsidRPr="000618D4" w:rsidRDefault="002E64EB" w:rsidP="002E64EB">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Pr>
              <w:rStyle w:val="PageNumber"/>
              <w:rFonts w:ascii="Verdana" w:hAnsi="Verdana"/>
              <w:b/>
              <w:sz w:val="18"/>
              <w:szCs w:val="18"/>
            </w:rPr>
            <w:t>G</w:t>
          </w:r>
          <w:r w:rsidRPr="00E86188">
            <w:rPr>
              <w:rStyle w:val="PageNumber"/>
              <w:rFonts w:ascii="Verdana" w:hAnsi="Verdana"/>
              <w:b/>
              <w:sz w:val="18"/>
              <w:szCs w:val="18"/>
            </w:rPr>
            <w:t xml:space="preserve">overnance including the </w:t>
          </w:r>
          <w:r w:rsidRPr="00111C30">
            <w:rPr>
              <w:rStyle w:val="PageNumber"/>
              <w:rFonts w:ascii="Verdana" w:hAnsi="Verdana"/>
              <w:b/>
              <w:sz w:val="18"/>
              <w:szCs w:val="18"/>
            </w:rPr>
            <w:t>Risk Register</w:t>
          </w:r>
        </w:p>
      </w:tc>
      <w:tc>
        <w:tcPr>
          <w:tcW w:w="1789" w:type="dxa"/>
          <w:tcBorders>
            <w:top w:val="single" w:sz="4" w:space="0" w:color="auto"/>
          </w:tcBorders>
        </w:tcPr>
        <w:p w14:paraId="5007F722" w14:textId="77777777" w:rsidR="002E64EB" w:rsidRPr="000618D4" w:rsidRDefault="002E64EB" w:rsidP="002E64EB">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Pr>
              <w:rFonts w:ascii="Verdana" w:hAnsi="Verdana" w:cs="Arial"/>
              <w:b/>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Pr>
              <w:rFonts w:ascii="Verdana" w:hAnsi="Verdana" w:cs="Arial"/>
              <w:b/>
              <w:sz w:val="18"/>
              <w:szCs w:val="18"/>
            </w:rPr>
            <w:t>6</w:t>
          </w:r>
          <w:r w:rsidRPr="000618D4">
            <w:rPr>
              <w:rFonts w:ascii="Verdana" w:hAnsi="Verdana" w:cs="Arial"/>
              <w:b/>
              <w:sz w:val="18"/>
              <w:szCs w:val="18"/>
            </w:rPr>
            <w:fldChar w:fldCharType="end"/>
          </w:r>
        </w:p>
      </w:tc>
      <w:tc>
        <w:tcPr>
          <w:tcW w:w="4475" w:type="dxa"/>
          <w:tcBorders>
            <w:top w:val="single" w:sz="4" w:space="0" w:color="auto"/>
          </w:tcBorders>
        </w:tcPr>
        <w:p w14:paraId="47078C8B" w14:textId="77777777" w:rsidR="00102869" w:rsidRPr="000618D4" w:rsidRDefault="00102869" w:rsidP="00102869">
          <w:pPr>
            <w:pStyle w:val="Footer"/>
            <w:tabs>
              <w:tab w:val="left" w:pos="7200"/>
            </w:tabs>
            <w:ind w:right="70"/>
            <w:jc w:val="right"/>
            <w:rPr>
              <w:rFonts w:ascii="Verdana" w:hAnsi="Verdana"/>
              <w:b/>
              <w:sz w:val="18"/>
              <w:szCs w:val="18"/>
            </w:rPr>
          </w:pPr>
          <w:r>
            <w:rPr>
              <w:rFonts w:ascii="Verdana" w:hAnsi="Verdana"/>
              <w:b/>
              <w:sz w:val="18"/>
              <w:szCs w:val="18"/>
            </w:rPr>
            <w:t>Emergency Ambulance Services Committee Meeting</w:t>
          </w:r>
        </w:p>
        <w:p w14:paraId="1E823B8C" w14:textId="5907F557" w:rsidR="002E64EB" w:rsidRPr="000618D4" w:rsidRDefault="00370501" w:rsidP="00102869">
          <w:pPr>
            <w:pStyle w:val="Footer"/>
            <w:ind w:right="112"/>
            <w:jc w:val="right"/>
            <w:rPr>
              <w:rFonts w:ascii="Verdana" w:hAnsi="Verdana"/>
              <w:b/>
              <w:sz w:val="18"/>
              <w:szCs w:val="18"/>
            </w:rPr>
          </w:pPr>
          <w:r>
            <w:rPr>
              <w:rFonts w:ascii="Verdana" w:hAnsi="Verdana"/>
              <w:b/>
              <w:sz w:val="18"/>
              <w:szCs w:val="18"/>
            </w:rPr>
            <w:t>19 September</w:t>
          </w:r>
          <w:r w:rsidR="00102869">
            <w:rPr>
              <w:rFonts w:ascii="Verdana" w:hAnsi="Verdana"/>
              <w:b/>
              <w:sz w:val="18"/>
              <w:szCs w:val="18"/>
            </w:rPr>
            <w:t xml:space="preserve"> </w:t>
          </w:r>
          <w:r w:rsidR="00102869" w:rsidRPr="00AD57CF">
            <w:rPr>
              <w:rFonts w:ascii="Verdana" w:hAnsi="Verdana"/>
              <w:b/>
              <w:sz w:val="18"/>
              <w:szCs w:val="18"/>
            </w:rPr>
            <w:t>2023</w:t>
          </w:r>
        </w:p>
      </w:tc>
    </w:tr>
  </w:tbl>
  <w:p w14:paraId="18BC3298" w14:textId="77777777" w:rsidR="002E64EB" w:rsidRPr="00535F77" w:rsidRDefault="002E64EB" w:rsidP="002E64EB">
    <w:pPr>
      <w:pStyle w:val="Footer"/>
      <w:rPr>
        <w:sz w:val="2"/>
      </w:rPr>
    </w:pPr>
  </w:p>
  <w:p w14:paraId="48DFA948" w14:textId="77777777" w:rsidR="005802A6" w:rsidRPr="00344184" w:rsidRDefault="005802A6" w:rsidP="002E64EB">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AD57CF" w14:paraId="312DBB77" w14:textId="77777777" w:rsidTr="009C68A3">
      <w:trPr>
        <w:trHeight w:val="272"/>
      </w:trPr>
      <w:tc>
        <w:tcPr>
          <w:tcW w:w="4395" w:type="dxa"/>
          <w:tcBorders>
            <w:top w:val="single" w:sz="4" w:space="0" w:color="auto"/>
          </w:tcBorders>
        </w:tcPr>
        <w:p w14:paraId="00E174FA" w14:textId="349EE262"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sidR="00E86188">
            <w:rPr>
              <w:rStyle w:val="PageNumber"/>
              <w:rFonts w:ascii="Verdana" w:hAnsi="Verdana"/>
              <w:b/>
              <w:sz w:val="18"/>
              <w:szCs w:val="18"/>
            </w:rPr>
            <w:t>G</w:t>
          </w:r>
          <w:r w:rsidR="00E86188" w:rsidRPr="00E86188">
            <w:rPr>
              <w:rStyle w:val="PageNumber"/>
              <w:rFonts w:ascii="Verdana" w:hAnsi="Verdana"/>
              <w:b/>
              <w:sz w:val="18"/>
              <w:szCs w:val="18"/>
            </w:rPr>
            <w:t xml:space="preserve">overnance including the </w:t>
          </w:r>
          <w:r w:rsidR="00111C30" w:rsidRPr="00111C30">
            <w:rPr>
              <w:rStyle w:val="PageNumber"/>
              <w:rFonts w:ascii="Verdana" w:hAnsi="Verdana"/>
              <w:b/>
              <w:sz w:val="18"/>
              <w:szCs w:val="18"/>
            </w:rPr>
            <w:t>Risk Register</w:t>
          </w:r>
        </w:p>
      </w:tc>
      <w:tc>
        <w:tcPr>
          <w:tcW w:w="1701" w:type="dxa"/>
          <w:tcBorders>
            <w:top w:val="single" w:sz="4" w:space="0" w:color="auto"/>
          </w:tcBorders>
        </w:tcPr>
        <w:p w14:paraId="645152CA" w14:textId="77777777"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547CDB"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547CDB"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1EE20386" w14:textId="4389D264" w:rsidR="00535F77" w:rsidRPr="000618D4" w:rsidRDefault="00262DC8" w:rsidP="00535F77">
          <w:pPr>
            <w:pStyle w:val="Footer"/>
            <w:tabs>
              <w:tab w:val="left" w:pos="7200"/>
            </w:tabs>
            <w:ind w:right="70"/>
            <w:jc w:val="right"/>
            <w:rPr>
              <w:rFonts w:ascii="Verdana" w:hAnsi="Verdana"/>
              <w:b/>
              <w:sz w:val="18"/>
              <w:szCs w:val="18"/>
            </w:rPr>
          </w:pPr>
          <w:r>
            <w:rPr>
              <w:rFonts w:ascii="Verdana" w:hAnsi="Verdana"/>
              <w:b/>
              <w:sz w:val="18"/>
              <w:szCs w:val="18"/>
            </w:rPr>
            <w:t>E</w:t>
          </w:r>
          <w:r w:rsidR="00102869">
            <w:rPr>
              <w:rFonts w:ascii="Verdana" w:hAnsi="Verdana"/>
              <w:b/>
              <w:sz w:val="18"/>
              <w:szCs w:val="18"/>
            </w:rPr>
            <w:t xml:space="preserve">mergency Ambulance Services Committee </w:t>
          </w:r>
          <w:r w:rsidR="00FD3628">
            <w:rPr>
              <w:rFonts w:ascii="Verdana" w:hAnsi="Verdana"/>
              <w:b/>
              <w:sz w:val="18"/>
              <w:szCs w:val="18"/>
            </w:rPr>
            <w:t>Meeting</w:t>
          </w:r>
        </w:p>
        <w:p w14:paraId="5FADFF73" w14:textId="59097092" w:rsidR="00535F77" w:rsidRPr="000618D4" w:rsidRDefault="00370501" w:rsidP="00535F77">
          <w:pPr>
            <w:pStyle w:val="Footer"/>
            <w:tabs>
              <w:tab w:val="left" w:pos="7200"/>
            </w:tabs>
            <w:ind w:right="70"/>
            <w:jc w:val="right"/>
            <w:rPr>
              <w:rFonts w:ascii="Verdana" w:hAnsi="Verdana"/>
              <w:b/>
              <w:sz w:val="18"/>
              <w:szCs w:val="18"/>
            </w:rPr>
          </w:pPr>
          <w:r>
            <w:rPr>
              <w:rFonts w:ascii="Verdana" w:hAnsi="Verdana"/>
              <w:b/>
              <w:sz w:val="18"/>
              <w:szCs w:val="18"/>
            </w:rPr>
            <w:t>19 September</w:t>
          </w:r>
          <w:r w:rsidR="00102869">
            <w:rPr>
              <w:rFonts w:ascii="Verdana" w:hAnsi="Verdana"/>
              <w:b/>
              <w:sz w:val="18"/>
              <w:szCs w:val="18"/>
            </w:rPr>
            <w:t xml:space="preserve"> </w:t>
          </w:r>
          <w:r w:rsidR="00AD57CF" w:rsidRPr="00AD57CF">
            <w:rPr>
              <w:rFonts w:ascii="Verdana" w:hAnsi="Verdana"/>
              <w:b/>
              <w:sz w:val="18"/>
              <w:szCs w:val="18"/>
            </w:rPr>
            <w:t>2023</w:t>
          </w:r>
        </w:p>
      </w:tc>
    </w:tr>
  </w:tbl>
  <w:p w14:paraId="427D9228"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E286AC" w14:textId="77777777" w:rsidR="009C68A3" w:rsidRDefault="009C68A3" w:rsidP="003E43AD">
      <w:pPr>
        <w:spacing w:after="0" w:line="240" w:lineRule="auto"/>
      </w:pPr>
      <w:r>
        <w:separator/>
      </w:r>
    </w:p>
  </w:footnote>
  <w:footnote w:type="continuationSeparator" w:id="0">
    <w:p w14:paraId="5DDF8611" w14:textId="77777777" w:rsidR="009C68A3" w:rsidRDefault="009C68A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F24C2" w14:textId="7F7C44FD" w:rsidR="006C53DA" w:rsidRDefault="00DF4F54" w:rsidP="00345EE2">
    <w:pPr>
      <w:pStyle w:val="Header"/>
      <w:jc w:val="center"/>
    </w:pPr>
    <w:r w:rsidRPr="00B63039">
      <w:rPr>
        <w:noProof/>
        <w:lang w:eastAsia="en-GB"/>
      </w:rPr>
      <w:drawing>
        <wp:inline distT="0" distB="0" distL="0" distR="0" wp14:anchorId="5D6F8CBA" wp14:editId="1B76AE4A">
          <wp:extent cx="2152650" cy="629224"/>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F230D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F6783" w14:textId="6A34131D" w:rsidR="006C53DA" w:rsidRDefault="006C53DA" w:rsidP="00345EE2">
    <w:pPr>
      <w:pStyle w:val="Header"/>
      <w:jc w:val="center"/>
    </w:pPr>
  </w:p>
  <w:p w14:paraId="23D300A8" w14:textId="14FC1B72" w:rsidR="00906D9A" w:rsidRDefault="005B1A7C" w:rsidP="005B1A7C">
    <w:pPr>
      <w:pStyle w:val="NoSpacing"/>
      <w:jc w:val="center"/>
    </w:pPr>
    <w:r w:rsidRPr="00B63039">
      <w:rPr>
        <w:noProof/>
        <w:lang w:eastAsia="en-GB"/>
      </w:rPr>
      <w:drawing>
        <wp:inline distT="0" distB="0" distL="0" distR="0" wp14:anchorId="26B5AC46" wp14:editId="229EB45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6075E"/>
    <w:multiLevelType w:val="hybridMultilevel"/>
    <w:tmpl w:val="85B4F148"/>
    <w:lvl w:ilvl="0" w:tplc="69E85808">
      <w:start w:val="17"/>
      <w:numFmt w:val="bullet"/>
      <w:lvlText w:val="-"/>
      <w:lvlJc w:val="left"/>
      <w:pPr>
        <w:ind w:left="1080" w:hanging="360"/>
      </w:pPr>
      <w:rPr>
        <w:rFonts w:ascii="Verdana" w:eastAsiaTheme="minorHAnsi" w:hAnsi="Verdana"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 w15:restartNumberingAfterBreak="0">
    <w:nsid w:val="0A7C7A3C"/>
    <w:multiLevelType w:val="hybridMultilevel"/>
    <w:tmpl w:val="44189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4" w15:restartNumberingAfterBreak="0">
    <w:nsid w:val="0E131A85"/>
    <w:multiLevelType w:val="hybridMultilevel"/>
    <w:tmpl w:val="4D16CF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6"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8"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9" w15:restartNumberingAfterBreak="0">
    <w:nsid w:val="18F7680D"/>
    <w:multiLevelType w:val="hybridMultilevel"/>
    <w:tmpl w:val="25D0E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321A44"/>
    <w:multiLevelType w:val="hybridMultilevel"/>
    <w:tmpl w:val="91FE345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1"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3" w15:restartNumberingAfterBreak="0">
    <w:nsid w:val="2A344890"/>
    <w:multiLevelType w:val="hybridMultilevel"/>
    <w:tmpl w:val="25D0177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4"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6"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33D829B2"/>
    <w:multiLevelType w:val="hybridMultilevel"/>
    <w:tmpl w:val="B4F6F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9"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2" w15:restartNumberingAfterBreak="0">
    <w:nsid w:val="40FE1A8B"/>
    <w:multiLevelType w:val="hybridMultilevel"/>
    <w:tmpl w:val="D88CF96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5AB6724"/>
    <w:multiLevelType w:val="hybridMultilevel"/>
    <w:tmpl w:val="C276C7C0"/>
    <w:lvl w:ilvl="0" w:tplc="DCAC4294">
      <w:start w:val="18"/>
      <w:numFmt w:val="bullet"/>
      <w:lvlText w:val="-"/>
      <w:lvlJc w:val="left"/>
      <w:pPr>
        <w:ind w:left="1080" w:hanging="360"/>
      </w:pPr>
      <w:rPr>
        <w:rFonts w:ascii="Verdana" w:eastAsiaTheme="minorHAnsi" w:hAnsi="Verdana" w:cs="ArialMT" w:hint="default"/>
      </w:rPr>
    </w:lvl>
    <w:lvl w:ilvl="1" w:tplc="DCAC4294">
      <w:start w:val="18"/>
      <w:numFmt w:val="bullet"/>
      <w:lvlText w:val="-"/>
      <w:lvlJc w:val="left"/>
      <w:pPr>
        <w:ind w:left="1800" w:hanging="360"/>
      </w:pPr>
      <w:rPr>
        <w:rFonts w:ascii="Verdana" w:eastAsiaTheme="minorHAnsi" w:hAnsi="Verdana" w:cs="ArialMT"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5"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7"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2" w15:restartNumberingAfterBreak="0">
    <w:nsid w:val="5E2A2D75"/>
    <w:multiLevelType w:val="hybridMultilevel"/>
    <w:tmpl w:val="434E6F1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1DA3B89"/>
    <w:multiLevelType w:val="hybridMultilevel"/>
    <w:tmpl w:val="6534DB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5"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6"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6E632237"/>
    <w:multiLevelType w:val="hybridMultilevel"/>
    <w:tmpl w:val="A4E68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9"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4"/>
  </w:num>
  <w:num w:numId="2">
    <w:abstractNumId w:val="42"/>
  </w:num>
  <w:num w:numId="3">
    <w:abstractNumId w:val="39"/>
  </w:num>
  <w:num w:numId="4">
    <w:abstractNumId w:val="37"/>
  </w:num>
  <w:num w:numId="5">
    <w:abstractNumId w:val="15"/>
  </w:num>
  <w:num w:numId="6">
    <w:abstractNumId w:val="8"/>
  </w:num>
  <w:num w:numId="7">
    <w:abstractNumId w:val="18"/>
  </w:num>
  <w:num w:numId="8">
    <w:abstractNumId w:val="12"/>
  </w:num>
  <w:num w:numId="9">
    <w:abstractNumId w:val="3"/>
  </w:num>
  <w:num w:numId="10">
    <w:abstractNumId w:val="30"/>
  </w:num>
  <w:num w:numId="11">
    <w:abstractNumId w:val="5"/>
  </w:num>
  <w:num w:numId="12">
    <w:abstractNumId w:val="35"/>
  </w:num>
  <w:num w:numId="13">
    <w:abstractNumId w:val="20"/>
  </w:num>
  <w:num w:numId="14">
    <w:abstractNumId w:val="26"/>
  </w:num>
  <w:num w:numId="15">
    <w:abstractNumId w:val="1"/>
  </w:num>
  <w:num w:numId="16">
    <w:abstractNumId w:val="7"/>
  </w:num>
  <w:num w:numId="17">
    <w:abstractNumId w:val="34"/>
  </w:num>
  <w:num w:numId="18">
    <w:abstractNumId w:val="21"/>
  </w:num>
  <w:num w:numId="19">
    <w:abstractNumId w:val="41"/>
  </w:num>
  <w:num w:numId="20">
    <w:abstractNumId w:val="23"/>
  </w:num>
  <w:num w:numId="21">
    <w:abstractNumId w:val="28"/>
  </w:num>
  <w:num w:numId="22">
    <w:abstractNumId w:val="40"/>
  </w:num>
  <w:num w:numId="23">
    <w:abstractNumId w:val="43"/>
  </w:num>
  <w:num w:numId="24">
    <w:abstractNumId w:val="29"/>
  </w:num>
  <w:num w:numId="25">
    <w:abstractNumId w:val="16"/>
  </w:num>
  <w:num w:numId="26">
    <w:abstractNumId w:val="31"/>
  </w:num>
  <w:num w:numId="27">
    <w:abstractNumId w:val="19"/>
  </w:num>
  <w:num w:numId="28">
    <w:abstractNumId w:val="6"/>
  </w:num>
  <w:num w:numId="29">
    <w:abstractNumId w:val="36"/>
  </w:num>
  <w:num w:numId="30">
    <w:abstractNumId w:val="22"/>
  </w:num>
  <w:num w:numId="31">
    <w:abstractNumId w:val="17"/>
  </w:num>
  <w:num w:numId="32">
    <w:abstractNumId w:val="27"/>
  </w:num>
  <w:num w:numId="33">
    <w:abstractNumId w:val="38"/>
  </w:num>
  <w:num w:numId="34">
    <w:abstractNumId w:val="13"/>
  </w:num>
  <w:num w:numId="35">
    <w:abstractNumId w:val="2"/>
  </w:num>
  <w:num w:numId="36">
    <w:abstractNumId w:val="11"/>
  </w:num>
  <w:num w:numId="37">
    <w:abstractNumId w:val="9"/>
  </w:num>
  <w:num w:numId="38">
    <w:abstractNumId w:val="33"/>
  </w:num>
  <w:num w:numId="39">
    <w:abstractNumId w:val="25"/>
  </w:num>
  <w:num w:numId="40">
    <w:abstractNumId w:val="4"/>
  </w:num>
  <w:num w:numId="41">
    <w:abstractNumId w:val="0"/>
  </w:num>
  <w:num w:numId="42">
    <w:abstractNumId w:val="32"/>
  </w:num>
  <w:num w:numId="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4"/>
  </w:num>
  <w:num w:numId="45">
    <w:abstractNumId w:val="6"/>
  </w:num>
  <w:num w:numId="46">
    <w:abstractNumId w:val="25"/>
  </w:num>
  <w:num w:numId="47">
    <w:abstractNumId w:val="27"/>
  </w:num>
  <w:num w:numId="48">
    <w:abstractNumId w:val="10"/>
  </w:num>
  <w:num w:numId="49">
    <w:abstractNumId w:val="4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drawingGridHorizontalSpacing w:val="110"/>
  <w:displayHorizontalDrawingGridEvery w:val="2"/>
  <w:characterSpacingControl w:val="doNotCompress"/>
  <w:hdrShapeDefaults>
    <o:shapedefaults v:ext="edit" spidmax="563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404F6"/>
    <w:rsid w:val="00054C3E"/>
    <w:rsid w:val="000618D4"/>
    <w:rsid w:val="00063FCF"/>
    <w:rsid w:val="00071554"/>
    <w:rsid w:val="000804F4"/>
    <w:rsid w:val="00081198"/>
    <w:rsid w:val="00082004"/>
    <w:rsid w:val="00087307"/>
    <w:rsid w:val="00097B17"/>
    <w:rsid w:val="000A14EC"/>
    <w:rsid w:val="000B4302"/>
    <w:rsid w:val="000C1B75"/>
    <w:rsid w:val="000C6EAC"/>
    <w:rsid w:val="000D248E"/>
    <w:rsid w:val="000E4ED0"/>
    <w:rsid w:val="000F58D4"/>
    <w:rsid w:val="000F6071"/>
    <w:rsid w:val="00102869"/>
    <w:rsid w:val="001041A8"/>
    <w:rsid w:val="00111C30"/>
    <w:rsid w:val="001468E1"/>
    <w:rsid w:val="001507F6"/>
    <w:rsid w:val="00164597"/>
    <w:rsid w:val="00167AE2"/>
    <w:rsid w:val="001746F0"/>
    <w:rsid w:val="001750A0"/>
    <w:rsid w:val="0019519C"/>
    <w:rsid w:val="001A1248"/>
    <w:rsid w:val="001B41F0"/>
    <w:rsid w:val="001B439D"/>
    <w:rsid w:val="001C3A95"/>
    <w:rsid w:val="001D08F5"/>
    <w:rsid w:val="001E4F67"/>
    <w:rsid w:val="00200370"/>
    <w:rsid w:val="00223C86"/>
    <w:rsid w:val="002338B8"/>
    <w:rsid w:val="00241B90"/>
    <w:rsid w:val="0025429D"/>
    <w:rsid w:val="00261366"/>
    <w:rsid w:val="00262DC8"/>
    <w:rsid w:val="00267975"/>
    <w:rsid w:val="00272B25"/>
    <w:rsid w:val="00281D69"/>
    <w:rsid w:val="002839C3"/>
    <w:rsid w:val="002B5D2A"/>
    <w:rsid w:val="002C7963"/>
    <w:rsid w:val="002D02D2"/>
    <w:rsid w:val="002D36EF"/>
    <w:rsid w:val="002E64EB"/>
    <w:rsid w:val="002F3A0D"/>
    <w:rsid w:val="00304120"/>
    <w:rsid w:val="00321DD4"/>
    <w:rsid w:val="003253AD"/>
    <w:rsid w:val="00325A46"/>
    <w:rsid w:val="00344184"/>
    <w:rsid w:val="00345653"/>
    <w:rsid w:val="00345EE2"/>
    <w:rsid w:val="00362AC1"/>
    <w:rsid w:val="003655D9"/>
    <w:rsid w:val="00370501"/>
    <w:rsid w:val="003718C6"/>
    <w:rsid w:val="00380B51"/>
    <w:rsid w:val="003862EC"/>
    <w:rsid w:val="003C4CCD"/>
    <w:rsid w:val="003C5D58"/>
    <w:rsid w:val="003E2FB0"/>
    <w:rsid w:val="003E43AD"/>
    <w:rsid w:val="003F02E2"/>
    <w:rsid w:val="003F0DCC"/>
    <w:rsid w:val="003F40A1"/>
    <w:rsid w:val="00400E1E"/>
    <w:rsid w:val="00401B44"/>
    <w:rsid w:val="004126FC"/>
    <w:rsid w:val="0041542C"/>
    <w:rsid w:val="004404A3"/>
    <w:rsid w:val="00456C1E"/>
    <w:rsid w:val="0046035B"/>
    <w:rsid w:val="00463B6C"/>
    <w:rsid w:val="0046500C"/>
    <w:rsid w:val="00493CD8"/>
    <w:rsid w:val="00496DFD"/>
    <w:rsid w:val="00497040"/>
    <w:rsid w:val="004A1B43"/>
    <w:rsid w:val="004B1B0B"/>
    <w:rsid w:val="004B4B39"/>
    <w:rsid w:val="004B52EA"/>
    <w:rsid w:val="004C7B5E"/>
    <w:rsid w:val="004D4D0B"/>
    <w:rsid w:val="004F02D4"/>
    <w:rsid w:val="004F3890"/>
    <w:rsid w:val="0050158E"/>
    <w:rsid w:val="00504755"/>
    <w:rsid w:val="005069A7"/>
    <w:rsid w:val="00510740"/>
    <w:rsid w:val="00511AE8"/>
    <w:rsid w:val="00525AC0"/>
    <w:rsid w:val="00535F77"/>
    <w:rsid w:val="00546F15"/>
    <w:rsid w:val="00547CDB"/>
    <w:rsid w:val="00547FA5"/>
    <w:rsid w:val="00577535"/>
    <w:rsid w:val="005802A6"/>
    <w:rsid w:val="005848A6"/>
    <w:rsid w:val="00594A95"/>
    <w:rsid w:val="005A0836"/>
    <w:rsid w:val="005A0E27"/>
    <w:rsid w:val="005B1A7C"/>
    <w:rsid w:val="005B6919"/>
    <w:rsid w:val="005C0676"/>
    <w:rsid w:val="005E14D3"/>
    <w:rsid w:val="005E3C47"/>
    <w:rsid w:val="005F08E9"/>
    <w:rsid w:val="005F7CB1"/>
    <w:rsid w:val="00602359"/>
    <w:rsid w:val="00612035"/>
    <w:rsid w:val="0061253B"/>
    <w:rsid w:val="006147EB"/>
    <w:rsid w:val="00634623"/>
    <w:rsid w:val="00637B43"/>
    <w:rsid w:val="00652117"/>
    <w:rsid w:val="00653C04"/>
    <w:rsid w:val="006617E2"/>
    <w:rsid w:val="006733AE"/>
    <w:rsid w:val="006802A0"/>
    <w:rsid w:val="006918F3"/>
    <w:rsid w:val="0069470A"/>
    <w:rsid w:val="006964F1"/>
    <w:rsid w:val="006A3CE4"/>
    <w:rsid w:val="006A7DA6"/>
    <w:rsid w:val="006B1F5F"/>
    <w:rsid w:val="006B4298"/>
    <w:rsid w:val="006C3C79"/>
    <w:rsid w:val="006C53DA"/>
    <w:rsid w:val="006D12AC"/>
    <w:rsid w:val="006D7D02"/>
    <w:rsid w:val="006E588D"/>
    <w:rsid w:val="006F2AC9"/>
    <w:rsid w:val="00723BF8"/>
    <w:rsid w:val="00726EA5"/>
    <w:rsid w:val="0073656F"/>
    <w:rsid w:val="00737E25"/>
    <w:rsid w:val="00747CDC"/>
    <w:rsid w:val="007562FB"/>
    <w:rsid w:val="007563F7"/>
    <w:rsid w:val="00757E24"/>
    <w:rsid w:val="007724F5"/>
    <w:rsid w:val="00787C18"/>
    <w:rsid w:val="007911CA"/>
    <w:rsid w:val="0079542C"/>
    <w:rsid w:val="007B1360"/>
    <w:rsid w:val="007B2F89"/>
    <w:rsid w:val="007B6A8A"/>
    <w:rsid w:val="007C0506"/>
    <w:rsid w:val="007C2422"/>
    <w:rsid w:val="007C50BE"/>
    <w:rsid w:val="007D0B6E"/>
    <w:rsid w:val="007D3C6E"/>
    <w:rsid w:val="007F0937"/>
    <w:rsid w:val="00816502"/>
    <w:rsid w:val="00822A00"/>
    <w:rsid w:val="0083034D"/>
    <w:rsid w:val="00835124"/>
    <w:rsid w:val="008441BC"/>
    <w:rsid w:val="008508A8"/>
    <w:rsid w:val="008608C1"/>
    <w:rsid w:val="00861CE5"/>
    <w:rsid w:val="008641AF"/>
    <w:rsid w:val="00865189"/>
    <w:rsid w:val="008713AB"/>
    <w:rsid w:val="00875943"/>
    <w:rsid w:val="0089167D"/>
    <w:rsid w:val="008B23BA"/>
    <w:rsid w:val="008B2A58"/>
    <w:rsid w:val="008C3F1D"/>
    <w:rsid w:val="008E5494"/>
    <w:rsid w:val="008F13FD"/>
    <w:rsid w:val="008F1E88"/>
    <w:rsid w:val="009035AC"/>
    <w:rsid w:val="00906D9A"/>
    <w:rsid w:val="00925EEC"/>
    <w:rsid w:val="00927D8A"/>
    <w:rsid w:val="009338CC"/>
    <w:rsid w:val="00933C80"/>
    <w:rsid w:val="00937F07"/>
    <w:rsid w:val="0096300D"/>
    <w:rsid w:val="0097572A"/>
    <w:rsid w:val="00981263"/>
    <w:rsid w:val="00994D8D"/>
    <w:rsid w:val="0099687F"/>
    <w:rsid w:val="00996C76"/>
    <w:rsid w:val="009A3FDB"/>
    <w:rsid w:val="009A5214"/>
    <w:rsid w:val="009B3C12"/>
    <w:rsid w:val="009B6215"/>
    <w:rsid w:val="009C68A3"/>
    <w:rsid w:val="00A07B96"/>
    <w:rsid w:val="00A16D15"/>
    <w:rsid w:val="00A309A2"/>
    <w:rsid w:val="00A3172B"/>
    <w:rsid w:val="00A47A53"/>
    <w:rsid w:val="00A51464"/>
    <w:rsid w:val="00A72602"/>
    <w:rsid w:val="00A75525"/>
    <w:rsid w:val="00A839D2"/>
    <w:rsid w:val="00A8686B"/>
    <w:rsid w:val="00A87706"/>
    <w:rsid w:val="00AA708E"/>
    <w:rsid w:val="00AD2610"/>
    <w:rsid w:val="00AD57CF"/>
    <w:rsid w:val="00AE477D"/>
    <w:rsid w:val="00B03E75"/>
    <w:rsid w:val="00B05FE3"/>
    <w:rsid w:val="00B13916"/>
    <w:rsid w:val="00B13942"/>
    <w:rsid w:val="00B276ED"/>
    <w:rsid w:val="00B33FC6"/>
    <w:rsid w:val="00B40682"/>
    <w:rsid w:val="00B445FA"/>
    <w:rsid w:val="00B516F8"/>
    <w:rsid w:val="00B57869"/>
    <w:rsid w:val="00B6264F"/>
    <w:rsid w:val="00B62DCA"/>
    <w:rsid w:val="00B848F0"/>
    <w:rsid w:val="00B914C4"/>
    <w:rsid w:val="00BA0224"/>
    <w:rsid w:val="00BA1AF1"/>
    <w:rsid w:val="00BE0F8C"/>
    <w:rsid w:val="00BF121C"/>
    <w:rsid w:val="00C22898"/>
    <w:rsid w:val="00C41AFC"/>
    <w:rsid w:val="00C45E2D"/>
    <w:rsid w:val="00C52F2D"/>
    <w:rsid w:val="00C77952"/>
    <w:rsid w:val="00C847EE"/>
    <w:rsid w:val="00CA374F"/>
    <w:rsid w:val="00CB714B"/>
    <w:rsid w:val="00CB7D49"/>
    <w:rsid w:val="00CC1A2E"/>
    <w:rsid w:val="00CC592B"/>
    <w:rsid w:val="00CC6203"/>
    <w:rsid w:val="00CE2C60"/>
    <w:rsid w:val="00CE7B12"/>
    <w:rsid w:val="00CF19A2"/>
    <w:rsid w:val="00D03A9E"/>
    <w:rsid w:val="00D149FF"/>
    <w:rsid w:val="00D221CF"/>
    <w:rsid w:val="00D227B8"/>
    <w:rsid w:val="00D2329B"/>
    <w:rsid w:val="00D50D29"/>
    <w:rsid w:val="00D531C1"/>
    <w:rsid w:val="00D640FC"/>
    <w:rsid w:val="00D655F4"/>
    <w:rsid w:val="00D81EAE"/>
    <w:rsid w:val="00D90235"/>
    <w:rsid w:val="00DA40E6"/>
    <w:rsid w:val="00DA7EF2"/>
    <w:rsid w:val="00DB7FCB"/>
    <w:rsid w:val="00DC0AB8"/>
    <w:rsid w:val="00DC3B4C"/>
    <w:rsid w:val="00DD2B82"/>
    <w:rsid w:val="00DE0BA2"/>
    <w:rsid w:val="00DF1798"/>
    <w:rsid w:val="00DF4F54"/>
    <w:rsid w:val="00E11750"/>
    <w:rsid w:val="00E21D49"/>
    <w:rsid w:val="00E23B12"/>
    <w:rsid w:val="00E3037D"/>
    <w:rsid w:val="00E355DB"/>
    <w:rsid w:val="00E35663"/>
    <w:rsid w:val="00E372F5"/>
    <w:rsid w:val="00E37D85"/>
    <w:rsid w:val="00E52A42"/>
    <w:rsid w:val="00E55D6E"/>
    <w:rsid w:val="00E63380"/>
    <w:rsid w:val="00E65705"/>
    <w:rsid w:val="00E6722B"/>
    <w:rsid w:val="00E86188"/>
    <w:rsid w:val="00E90D9F"/>
    <w:rsid w:val="00E933F8"/>
    <w:rsid w:val="00E959E9"/>
    <w:rsid w:val="00E961C0"/>
    <w:rsid w:val="00EA5DB5"/>
    <w:rsid w:val="00EA7C24"/>
    <w:rsid w:val="00EC35CA"/>
    <w:rsid w:val="00EC6275"/>
    <w:rsid w:val="00EE3AC4"/>
    <w:rsid w:val="00EE4BD0"/>
    <w:rsid w:val="00F0299C"/>
    <w:rsid w:val="00F13F28"/>
    <w:rsid w:val="00F16CE6"/>
    <w:rsid w:val="00F36769"/>
    <w:rsid w:val="00F4533D"/>
    <w:rsid w:val="00F704F2"/>
    <w:rsid w:val="00F83D60"/>
    <w:rsid w:val="00F8744F"/>
    <w:rsid w:val="00F9202B"/>
    <w:rsid w:val="00FC6829"/>
    <w:rsid w:val="00FD119F"/>
    <w:rsid w:val="00FD3628"/>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6321"/>
    <o:shapelayout v:ext="edit">
      <o:idmap v:ext="edit" data="1"/>
    </o:shapelayout>
  </w:shapeDefaults>
  <w:decimalSymbol w:val="."/>
  <w:listSeparator w:val=","/>
  <w14:docId w14:val="3CF9A3E4"/>
  <w15:docId w15:val="{3F32DFE1-6694-4394-9B07-861F1AFA0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 w:type="paragraph" w:customStyle="1" w:styleId="xxmsonormal">
    <w:name w:val="x_x_msonormal"/>
    <w:basedOn w:val="Normal"/>
    <w:uiPriority w:val="99"/>
    <w:rsid w:val="008608C1"/>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662826">
      <w:bodyDiv w:val="1"/>
      <w:marLeft w:val="0"/>
      <w:marRight w:val="0"/>
      <w:marTop w:val="0"/>
      <w:marBottom w:val="0"/>
      <w:divBdr>
        <w:top w:val="none" w:sz="0" w:space="0" w:color="auto"/>
        <w:left w:val="none" w:sz="0" w:space="0" w:color="auto"/>
        <w:bottom w:val="none" w:sz="0" w:space="0" w:color="auto"/>
        <w:right w:val="none" w:sz="0" w:space="0" w:color="auto"/>
      </w:divBdr>
    </w:div>
    <w:div w:id="238441553">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45668984">
      <w:bodyDiv w:val="1"/>
      <w:marLeft w:val="0"/>
      <w:marRight w:val="0"/>
      <w:marTop w:val="0"/>
      <w:marBottom w:val="0"/>
      <w:divBdr>
        <w:top w:val="none" w:sz="0" w:space="0" w:color="auto"/>
        <w:left w:val="none" w:sz="0" w:space="0" w:color="auto"/>
        <w:bottom w:val="none" w:sz="0" w:space="0" w:color="auto"/>
        <w:right w:val="none" w:sz="0" w:space="0" w:color="auto"/>
      </w:divBdr>
    </w:div>
    <w:div w:id="979967418">
      <w:bodyDiv w:val="1"/>
      <w:marLeft w:val="0"/>
      <w:marRight w:val="0"/>
      <w:marTop w:val="0"/>
      <w:marBottom w:val="0"/>
      <w:divBdr>
        <w:top w:val="none" w:sz="0" w:space="0" w:color="auto"/>
        <w:left w:val="none" w:sz="0" w:space="0" w:color="auto"/>
        <w:bottom w:val="none" w:sz="0" w:space="0" w:color="auto"/>
        <w:right w:val="none" w:sz="0" w:space="0" w:color="auto"/>
      </w:divBdr>
    </w:div>
    <w:div w:id="1480732503">
      <w:bodyDiv w:val="1"/>
      <w:marLeft w:val="0"/>
      <w:marRight w:val="0"/>
      <w:marTop w:val="0"/>
      <w:marBottom w:val="0"/>
      <w:divBdr>
        <w:top w:val="none" w:sz="0" w:space="0" w:color="auto"/>
        <w:left w:val="none" w:sz="0" w:space="0" w:color="auto"/>
        <w:bottom w:val="none" w:sz="0" w:space="0" w:color="auto"/>
        <w:right w:val="none" w:sz="0" w:space="0" w:color="auto"/>
      </w:divBdr>
    </w:div>
    <w:div w:id="1629779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562EB3CF5E7546318B5CB6A90746833B"/>
        <w:category>
          <w:name w:val="General"/>
          <w:gallery w:val="placeholder"/>
        </w:category>
        <w:types>
          <w:type w:val="bbPlcHdr"/>
        </w:types>
        <w:behaviors>
          <w:behavior w:val="content"/>
        </w:behaviors>
        <w:guid w:val="{967A5DCA-F177-4847-BB8F-B8DECE40DE05}"/>
      </w:docPartPr>
      <w:docPartBody>
        <w:p w:rsidR="00731F03" w:rsidRDefault="006978C8" w:rsidP="006978C8">
          <w:pPr>
            <w:pStyle w:val="562EB3CF5E7546318B5CB6A90746833B"/>
          </w:pPr>
          <w:r w:rsidRPr="00E23B12">
            <w:rPr>
              <w:rStyle w:val="PlaceholderText"/>
              <w:rFonts w:ascii="Verdana" w:hAnsi="Verdana"/>
              <w:sz w:val="24"/>
              <w:szCs w:val="24"/>
            </w:rPr>
            <w:t>Choose an item.</w:t>
          </w:r>
        </w:p>
      </w:docPartBody>
    </w:docPart>
    <w:docPart>
      <w:docPartPr>
        <w:name w:val="DDEE60CAAA5F46E0A8A0C7A1C9F2E7FB"/>
        <w:category>
          <w:name w:val="General"/>
          <w:gallery w:val="placeholder"/>
        </w:category>
        <w:types>
          <w:type w:val="bbPlcHdr"/>
        </w:types>
        <w:behaviors>
          <w:behavior w:val="content"/>
        </w:behaviors>
        <w:guid w:val="{082716D3-5787-4135-9390-C9ACAA1FEF76}"/>
      </w:docPartPr>
      <w:docPartBody>
        <w:p w:rsidR="009478F6" w:rsidRDefault="00B234EF" w:rsidP="00B234EF">
          <w:pPr>
            <w:pStyle w:val="DDEE60CAAA5F46E0A8A0C7A1C9F2E7F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MT">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Bold">
    <w:panose1 w:val="020B0704020202020204"/>
    <w:charset w:val="00"/>
    <w:family w:val="roman"/>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6978C8"/>
    <w:rsid w:val="00731F03"/>
    <w:rsid w:val="00790E03"/>
    <w:rsid w:val="007975EA"/>
    <w:rsid w:val="007C7A58"/>
    <w:rsid w:val="0082143C"/>
    <w:rsid w:val="008B111D"/>
    <w:rsid w:val="009347DC"/>
    <w:rsid w:val="009478F6"/>
    <w:rsid w:val="00976948"/>
    <w:rsid w:val="00A315F4"/>
    <w:rsid w:val="00AB391E"/>
    <w:rsid w:val="00B234EF"/>
    <w:rsid w:val="00B24355"/>
    <w:rsid w:val="00C05D5A"/>
    <w:rsid w:val="00CA06B3"/>
    <w:rsid w:val="00D14343"/>
    <w:rsid w:val="00DD7B03"/>
    <w:rsid w:val="00E51BD1"/>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51BD1"/>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562EB3CF5E7546318B5CB6A90746833B">
    <w:name w:val="562EB3CF5E7546318B5CB6A90746833B"/>
    <w:rsid w:val="006978C8"/>
  </w:style>
  <w:style w:type="paragraph" w:customStyle="1" w:styleId="DDEE60CAAA5F46E0A8A0C7A1C9F2E7FB">
    <w:name w:val="DDEE60CAAA5F46E0A8A0C7A1C9F2E7FB"/>
    <w:rsid w:val="00B234EF"/>
  </w:style>
  <w:style w:type="paragraph" w:customStyle="1" w:styleId="C1FF35EFC27F4907B6B8F1DC71F72ECC">
    <w:name w:val="C1FF35EFC27F4907B6B8F1DC71F72ECC"/>
    <w:rsid w:val="00E51BD1"/>
  </w:style>
  <w:style w:type="paragraph" w:customStyle="1" w:styleId="6136E2CF61F847C78E673DEE75F8F7F1">
    <w:name w:val="6136E2CF61F847C78E673DEE75F8F7F1"/>
    <w:rsid w:val="00E51BD1"/>
  </w:style>
  <w:style w:type="paragraph" w:customStyle="1" w:styleId="CDA66B6C153549B988AE8784FBA6F4C9">
    <w:name w:val="CDA66B6C153549B988AE8784FBA6F4C9"/>
    <w:rsid w:val="00E51BD1"/>
  </w:style>
  <w:style w:type="paragraph" w:customStyle="1" w:styleId="73E796B5F1CB4BF7B9B10370BE7A0C3A">
    <w:name w:val="73E796B5F1CB4BF7B9B10370BE7A0C3A"/>
    <w:rsid w:val="00E51BD1"/>
  </w:style>
  <w:style w:type="paragraph" w:customStyle="1" w:styleId="FCDCBFB440B640C6A0A168A3015340E2">
    <w:name w:val="FCDCBFB440B640C6A0A168A3015340E2"/>
    <w:rsid w:val="00E51BD1"/>
  </w:style>
  <w:style w:type="paragraph" w:customStyle="1" w:styleId="61A97F1A26954DB5BFF49DDEFE4E5A82">
    <w:name w:val="61A97F1A26954DB5BFF49DDEFE4E5A82"/>
    <w:rsid w:val="00E51BD1"/>
  </w:style>
  <w:style w:type="paragraph" w:customStyle="1" w:styleId="AE6D4BD0FF2549E4B3AAB94BCF119EBA">
    <w:name w:val="AE6D4BD0FF2549E4B3AAB94BCF119EBA"/>
    <w:rsid w:val="00E51BD1"/>
  </w:style>
  <w:style w:type="paragraph" w:customStyle="1" w:styleId="A23976DDCF0146C3A07666C0A3F4D147">
    <w:name w:val="A23976DDCF0146C3A07666C0A3F4D147"/>
    <w:rsid w:val="00E51BD1"/>
  </w:style>
  <w:style w:type="paragraph" w:customStyle="1" w:styleId="DE84075E7CAB414399E718BA43EBF9D4">
    <w:name w:val="DE84075E7CAB414399E718BA43EBF9D4"/>
    <w:rsid w:val="00E51BD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0951CB8-8B85-42B9-A5BC-8EEE138397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7</Pages>
  <Words>1496</Words>
  <Characters>8530</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10006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dc:description/>
  <cp:lastModifiedBy>Gwenan Roberts (CTM UHB - NCCU Corporate)</cp:lastModifiedBy>
  <cp:revision>5</cp:revision>
  <cp:lastPrinted>2023-02-10T15:15:00Z</cp:lastPrinted>
  <dcterms:created xsi:type="dcterms:W3CDTF">2023-09-01T13:45:00Z</dcterms:created>
  <dcterms:modified xsi:type="dcterms:W3CDTF">2023-09-13T11:44:00Z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