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6E6C9F4C" w:rsidR="00BA1AF1" w:rsidRPr="00BA1AF1" w:rsidRDefault="006213B0" w:rsidP="00BA1AF1">
            <w:pPr>
              <w:jc w:val="center"/>
              <w:rPr>
                <w:rFonts w:ascii="Verdana" w:hAnsi="Verdana"/>
                <w:sz w:val="24"/>
                <w:szCs w:val="24"/>
              </w:rPr>
            </w:pPr>
            <w:r>
              <w:rPr>
                <w:rFonts w:ascii="Verdana" w:hAnsi="Verdana"/>
                <w:sz w:val="24"/>
                <w:szCs w:val="24"/>
              </w:rPr>
              <w:t>2.7</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42507CAE" w:rsidR="00081F19" w:rsidRPr="006213B0" w:rsidRDefault="006213B0" w:rsidP="00081F19">
            <w:pPr>
              <w:jc w:val="center"/>
              <w:rPr>
                <w:rFonts w:ascii="Verdana" w:hAnsi="Verdana" w:cs="Arial"/>
                <w:b/>
                <w:sz w:val="24"/>
                <w:szCs w:val="24"/>
              </w:rPr>
            </w:pPr>
            <w:r w:rsidRPr="006213B0">
              <w:rPr>
                <w:rFonts w:ascii="Verdana" w:hAnsi="Verdana" w:cs="Arial"/>
                <w:b/>
                <w:sz w:val="24"/>
                <w:szCs w:val="24"/>
              </w:rPr>
              <w:t>EASC FINANCIAL PERFORMANCE REPORT – MONTH 4</w:t>
            </w:r>
          </w:p>
          <w:p w14:paraId="010B1326" w14:textId="24CBFDD9" w:rsidR="001D08F5" w:rsidRPr="0069470A" w:rsidRDefault="006213B0" w:rsidP="00081F19">
            <w:pPr>
              <w:jc w:val="center"/>
              <w:rPr>
                <w:rFonts w:ascii="Verdana" w:hAnsi="Verdana" w:cs="Arial"/>
                <w:b/>
                <w:color w:val="000000" w:themeColor="text1"/>
                <w:sz w:val="24"/>
                <w:szCs w:val="24"/>
              </w:rPr>
            </w:pPr>
            <w:r w:rsidRPr="006213B0">
              <w:rPr>
                <w:rFonts w:ascii="Verdana" w:hAnsi="Verdana" w:cs="Arial"/>
                <w:b/>
                <w:sz w:val="24"/>
                <w:szCs w:val="24"/>
              </w:rPr>
              <w:t>2023/24</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4ACDDD89" w:rsidR="00577535" w:rsidRPr="00E23B12" w:rsidRDefault="004D68E1" w:rsidP="004D68E1">
            <w:pPr>
              <w:rPr>
                <w:rFonts w:ascii="Verdana" w:hAnsi="Verdana" w:cs="Arial"/>
                <w:color w:val="FF0000"/>
                <w:sz w:val="24"/>
                <w:szCs w:val="24"/>
              </w:rPr>
            </w:pPr>
            <w:r>
              <w:rPr>
                <w:rStyle w:val="Style8"/>
                <w:rFonts w:ascii="Verdana" w:hAnsi="Verdana"/>
                <w:color w:val="000000" w:themeColor="text1"/>
                <w:szCs w:val="24"/>
              </w:rPr>
              <w:t>1</w:t>
            </w:r>
            <w:r w:rsidR="006213B0">
              <w:rPr>
                <w:rStyle w:val="Style8"/>
                <w:rFonts w:ascii="Verdana" w:hAnsi="Verdana"/>
                <w:color w:val="000000" w:themeColor="text1"/>
                <w:szCs w:val="24"/>
              </w:rPr>
              <w:t>9</w:t>
            </w:r>
            <w:r>
              <w:rPr>
                <w:rStyle w:val="Style8"/>
                <w:rFonts w:ascii="Verdana" w:hAnsi="Verdana"/>
                <w:color w:val="000000" w:themeColor="text1"/>
                <w:szCs w:val="24"/>
              </w:rPr>
              <w:t>/0</w:t>
            </w:r>
            <w:r w:rsidR="006213B0">
              <w:rPr>
                <w:rStyle w:val="Style8"/>
                <w:rFonts w:ascii="Verdana" w:hAnsi="Verdana"/>
                <w:color w:val="000000" w:themeColor="text1"/>
                <w:szCs w:val="24"/>
              </w:rPr>
              <w:t>9</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E7564A">
              <w:rPr>
                <w:rStyle w:val="Style8"/>
                <w:rFonts w:ascii="Verdana" w:hAnsi="Verdana"/>
                <w:color w:val="000000" w:themeColor="text1"/>
                <w:szCs w:val="24"/>
              </w:rPr>
              <w:t>3</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079DDB84" w:rsidR="00634623" w:rsidRPr="00E23B12" w:rsidRDefault="006213B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5CD7A954" w:rsidR="00747CDC" w:rsidRPr="006213B0" w:rsidRDefault="008528BF" w:rsidP="00C60197">
            <w:pPr>
              <w:rPr>
                <w:rFonts w:ascii="Verdana" w:hAnsi="Verdana" w:cs="Arial"/>
                <w:caps/>
                <w:color w:val="FF0000"/>
                <w:sz w:val="24"/>
                <w:szCs w:val="24"/>
              </w:rPr>
            </w:pPr>
            <w:r w:rsidRPr="006213B0">
              <w:rPr>
                <w:rFonts w:ascii="Verdana" w:hAnsi="Verdana" w:cs="Arial"/>
                <w:bCs/>
                <w:sz w:val="24"/>
                <w:szCs w:val="24"/>
              </w:rPr>
              <w:t xml:space="preserve">James Leaves, </w:t>
            </w:r>
            <w:r w:rsidR="00C60197" w:rsidRPr="006213B0">
              <w:rPr>
                <w:rFonts w:ascii="Verdana" w:hAnsi="Verdana" w:cs="Arial"/>
                <w:bCs/>
                <w:sz w:val="24"/>
                <w:szCs w:val="24"/>
              </w:rPr>
              <w:t xml:space="preserve">Interim </w:t>
            </w:r>
            <w:r w:rsidRPr="006213B0">
              <w:rPr>
                <w:rFonts w:ascii="Verdana" w:hAnsi="Verdana" w:cs="Arial"/>
                <w:bCs/>
                <w:sz w:val="24"/>
                <w:szCs w:val="24"/>
              </w:rPr>
              <w:t>Director of Finance</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2B2A3832" w:rsidR="005E14D3" w:rsidRPr="006213B0" w:rsidRDefault="00C60197" w:rsidP="005E14D3">
            <w:pPr>
              <w:rPr>
                <w:rFonts w:ascii="Verdana" w:hAnsi="Verdana"/>
                <w:color w:val="FF0000"/>
                <w:sz w:val="24"/>
                <w:szCs w:val="24"/>
              </w:rPr>
            </w:pPr>
            <w:r w:rsidRPr="006213B0">
              <w:rPr>
                <w:rFonts w:ascii="Verdana" w:hAnsi="Verdana" w:cs="Arial"/>
                <w:sz w:val="24"/>
                <w:szCs w:val="24"/>
              </w:rPr>
              <w:t>Interim</w:t>
            </w:r>
            <w:r w:rsidR="00372B54" w:rsidRPr="006213B0">
              <w:rPr>
                <w:rFonts w:ascii="Verdana" w:hAnsi="Verdana" w:cs="Arial"/>
                <w:sz w:val="24"/>
                <w:szCs w:val="24"/>
              </w:rPr>
              <w:t xml:space="preserve">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4272EAC3" w:rsidR="00463B6C" w:rsidRPr="00E23B12" w:rsidRDefault="00463B6C" w:rsidP="000C1B75">
            <w:pPr>
              <w:rPr>
                <w:rFonts w:ascii="Verdana" w:hAnsi="Verdana" w:cs="Arial"/>
                <w:sz w:val="24"/>
                <w:szCs w:val="24"/>
              </w:rPr>
            </w:pPr>
          </w:p>
        </w:tc>
        <w:tc>
          <w:tcPr>
            <w:tcW w:w="2017" w:type="dxa"/>
            <w:vAlign w:val="center"/>
          </w:tcPr>
          <w:p w14:paraId="4F81B71E" w14:textId="5D633847" w:rsidR="00D227B8" w:rsidRPr="00E23B12" w:rsidRDefault="00D227B8" w:rsidP="003169A9">
            <w:pPr>
              <w:rPr>
                <w:rFonts w:ascii="Verdana" w:hAnsi="Verdana" w:cs="Arial"/>
                <w:sz w:val="24"/>
                <w:szCs w:val="24"/>
              </w:rPr>
            </w:pPr>
          </w:p>
        </w:tc>
        <w:tc>
          <w:tcPr>
            <w:tcW w:w="3792" w:type="dxa"/>
            <w:vAlign w:val="center"/>
          </w:tcPr>
          <w:p w14:paraId="3E5AD1A4" w14:textId="6E841D41" w:rsidR="00652117" w:rsidRPr="00E23B12" w:rsidRDefault="00652117" w:rsidP="00577535">
            <w:pPr>
              <w:rPr>
                <w:rFonts w:ascii="Verdana" w:hAnsi="Verdana" w:cs="Arial"/>
                <w:sz w:val="24"/>
                <w:szCs w:val="24"/>
              </w:rPr>
            </w:pPr>
          </w:p>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213B0">
        <w:trPr>
          <w:trHeight w:val="181"/>
        </w:trPr>
        <w:tc>
          <w:tcPr>
            <w:tcW w:w="1049"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585"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r w:rsidR="006213B0" w:rsidRPr="00E23B12" w14:paraId="490987FF" w14:textId="77777777" w:rsidTr="006213B0">
        <w:trPr>
          <w:trHeight w:val="181"/>
        </w:trPr>
        <w:tc>
          <w:tcPr>
            <w:tcW w:w="1049" w:type="dxa"/>
            <w:shd w:val="clear" w:color="auto" w:fill="FFFFFF" w:themeFill="background1"/>
            <w:vAlign w:val="center"/>
          </w:tcPr>
          <w:p w14:paraId="7F944367" w14:textId="6CFBB86B" w:rsidR="006213B0" w:rsidRDefault="006213B0" w:rsidP="00577535">
            <w:pPr>
              <w:rPr>
                <w:rFonts w:ascii="Verdana" w:hAnsi="Verdana" w:cs="Arial"/>
                <w:sz w:val="24"/>
                <w:szCs w:val="24"/>
              </w:rPr>
            </w:pPr>
            <w:r>
              <w:rPr>
                <w:rFonts w:ascii="Verdana" w:hAnsi="Verdana" w:cs="Arial"/>
                <w:sz w:val="24"/>
                <w:szCs w:val="24"/>
              </w:rPr>
              <w:t>EMRTS</w:t>
            </w:r>
          </w:p>
        </w:tc>
        <w:tc>
          <w:tcPr>
            <w:tcW w:w="8585" w:type="dxa"/>
            <w:vAlign w:val="center"/>
          </w:tcPr>
          <w:p w14:paraId="75EABAB4" w14:textId="58A87AF5" w:rsidR="006213B0" w:rsidRDefault="006213B0" w:rsidP="00577535">
            <w:pPr>
              <w:rPr>
                <w:rFonts w:ascii="Verdana" w:hAnsi="Verdana" w:cs="Arial"/>
                <w:sz w:val="24"/>
                <w:szCs w:val="24"/>
              </w:rPr>
            </w:pPr>
            <w:r>
              <w:rPr>
                <w:rFonts w:ascii="Verdana" w:hAnsi="Verdana" w:cs="Arial"/>
                <w:sz w:val="24"/>
                <w:szCs w:val="24"/>
              </w:rPr>
              <w:t>Emergency Medical Retrieval and Transfer Service</w:t>
            </w:r>
          </w:p>
        </w:tc>
      </w:tr>
      <w:tr w:rsidR="006213B0" w:rsidRPr="00E23B12" w14:paraId="21CE47A8" w14:textId="77777777" w:rsidTr="00B5295D">
        <w:trPr>
          <w:trHeight w:val="181"/>
        </w:trPr>
        <w:tc>
          <w:tcPr>
            <w:tcW w:w="1049" w:type="dxa"/>
            <w:shd w:val="clear" w:color="auto" w:fill="FFFFFF" w:themeFill="background1"/>
            <w:vAlign w:val="center"/>
          </w:tcPr>
          <w:p w14:paraId="02EE1EAB" w14:textId="019FC667" w:rsidR="006213B0" w:rsidRPr="006213B0" w:rsidRDefault="006213B0" w:rsidP="00B5295D">
            <w:pPr>
              <w:rPr>
                <w:rFonts w:ascii="Verdana" w:hAnsi="Verdana" w:cs="Arial"/>
                <w:sz w:val="24"/>
                <w:szCs w:val="24"/>
              </w:rPr>
            </w:pPr>
            <w:r w:rsidRPr="001028EC">
              <w:rPr>
                <w:rFonts w:ascii="Verdana" w:hAnsi="Verdana" w:cs="Arial"/>
                <w:sz w:val="24"/>
                <w:szCs w:val="24"/>
                <w:lang w:eastAsia="en-GB"/>
              </w:rPr>
              <w:t>IMTP</w:t>
            </w:r>
          </w:p>
        </w:tc>
        <w:tc>
          <w:tcPr>
            <w:tcW w:w="8585" w:type="dxa"/>
            <w:vAlign w:val="center"/>
          </w:tcPr>
          <w:p w14:paraId="041B2E5D" w14:textId="1A8B3278" w:rsidR="006213B0" w:rsidRDefault="006213B0" w:rsidP="00B5295D">
            <w:pPr>
              <w:rPr>
                <w:rFonts w:ascii="Verdana" w:hAnsi="Verdana" w:cs="Arial"/>
                <w:sz w:val="24"/>
                <w:szCs w:val="24"/>
              </w:rPr>
            </w:pPr>
            <w:r>
              <w:rPr>
                <w:rFonts w:ascii="Verdana" w:hAnsi="Verdana" w:cs="Arial"/>
                <w:sz w:val="24"/>
                <w:szCs w:val="24"/>
              </w:rPr>
              <w:t>Integrated Medium Term Plan</w:t>
            </w:r>
          </w:p>
        </w:tc>
      </w:tr>
      <w:tr w:rsidR="006213B0" w:rsidRPr="00E23B12" w14:paraId="2CDBA802" w14:textId="77777777" w:rsidTr="00B5295D">
        <w:trPr>
          <w:trHeight w:val="181"/>
        </w:trPr>
        <w:tc>
          <w:tcPr>
            <w:tcW w:w="1049" w:type="dxa"/>
            <w:shd w:val="clear" w:color="auto" w:fill="FFFFFF" w:themeFill="background1"/>
            <w:vAlign w:val="center"/>
          </w:tcPr>
          <w:p w14:paraId="3FB6F61F" w14:textId="77777777" w:rsidR="006213B0" w:rsidRDefault="006213B0" w:rsidP="00B5295D">
            <w:pPr>
              <w:rPr>
                <w:rFonts w:ascii="Verdana" w:hAnsi="Verdana" w:cs="Arial"/>
                <w:sz w:val="24"/>
                <w:szCs w:val="24"/>
              </w:rPr>
            </w:pPr>
            <w:r>
              <w:rPr>
                <w:rFonts w:ascii="Verdana" w:hAnsi="Verdana" w:cs="Arial"/>
                <w:sz w:val="24"/>
                <w:szCs w:val="24"/>
              </w:rPr>
              <w:t>NCCU</w:t>
            </w:r>
          </w:p>
        </w:tc>
        <w:tc>
          <w:tcPr>
            <w:tcW w:w="8585" w:type="dxa"/>
            <w:vAlign w:val="center"/>
          </w:tcPr>
          <w:p w14:paraId="690CD887" w14:textId="77777777" w:rsidR="006213B0" w:rsidRDefault="006213B0" w:rsidP="00B5295D">
            <w:pPr>
              <w:rPr>
                <w:rFonts w:ascii="Verdana" w:hAnsi="Verdana" w:cs="Arial"/>
                <w:sz w:val="24"/>
                <w:szCs w:val="24"/>
              </w:rPr>
            </w:pPr>
            <w:r>
              <w:rPr>
                <w:rFonts w:ascii="Verdana" w:hAnsi="Verdana" w:cs="Arial"/>
                <w:sz w:val="24"/>
                <w:szCs w:val="24"/>
              </w:rPr>
              <w:t>National Collaborative Commissioning Unit</w:t>
            </w:r>
          </w:p>
        </w:tc>
      </w:tr>
      <w:tr w:rsidR="006213B0" w:rsidRPr="00E23B12" w14:paraId="6A7A1C95" w14:textId="77777777" w:rsidTr="006213B0">
        <w:trPr>
          <w:trHeight w:val="181"/>
        </w:trPr>
        <w:tc>
          <w:tcPr>
            <w:tcW w:w="1049" w:type="dxa"/>
            <w:shd w:val="clear" w:color="auto" w:fill="FFFFFF" w:themeFill="background1"/>
            <w:vAlign w:val="center"/>
          </w:tcPr>
          <w:p w14:paraId="36AB15BA" w14:textId="0383E96C" w:rsidR="006213B0" w:rsidRDefault="006213B0" w:rsidP="00577535">
            <w:pPr>
              <w:rPr>
                <w:rFonts w:ascii="Verdana" w:hAnsi="Verdana" w:cs="Arial"/>
                <w:sz w:val="24"/>
                <w:szCs w:val="24"/>
              </w:rPr>
            </w:pPr>
            <w:r>
              <w:rPr>
                <w:rFonts w:ascii="Verdana" w:hAnsi="Verdana" w:cs="Arial"/>
                <w:sz w:val="24"/>
                <w:szCs w:val="24"/>
              </w:rPr>
              <w:t>NEPTS</w:t>
            </w:r>
          </w:p>
        </w:tc>
        <w:tc>
          <w:tcPr>
            <w:tcW w:w="8585" w:type="dxa"/>
            <w:vAlign w:val="center"/>
          </w:tcPr>
          <w:p w14:paraId="5C6D5C48" w14:textId="65EB0F78" w:rsidR="006213B0" w:rsidRDefault="006213B0" w:rsidP="00577535">
            <w:pPr>
              <w:rPr>
                <w:rFonts w:ascii="Verdana" w:hAnsi="Verdana" w:cs="Arial"/>
                <w:sz w:val="24"/>
                <w:szCs w:val="24"/>
              </w:rPr>
            </w:pPr>
            <w:r>
              <w:rPr>
                <w:rFonts w:ascii="Verdana" w:hAnsi="Verdana" w:cs="Arial"/>
                <w:sz w:val="24"/>
                <w:szCs w:val="24"/>
              </w:rPr>
              <w:t>Non-Emergency Patient Transport Services</w:t>
            </w:r>
          </w:p>
        </w:tc>
      </w:tr>
      <w:tr w:rsidR="006213B0" w:rsidRPr="00E23B12" w14:paraId="753EFF31" w14:textId="77777777" w:rsidTr="006213B0">
        <w:trPr>
          <w:trHeight w:val="181"/>
        </w:trPr>
        <w:tc>
          <w:tcPr>
            <w:tcW w:w="1049" w:type="dxa"/>
            <w:shd w:val="clear" w:color="auto" w:fill="FFFFFF" w:themeFill="background1"/>
            <w:vAlign w:val="center"/>
          </w:tcPr>
          <w:p w14:paraId="2C789D9D" w14:textId="32FEF3DC" w:rsidR="006213B0" w:rsidRDefault="006213B0" w:rsidP="00577535">
            <w:pPr>
              <w:rPr>
                <w:rFonts w:ascii="Verdana" w:hAnsi="Verdana" w:cs="Arial"/>
                <w:sz w:val="24"/>
                <w:szCs w:val="24"/>
              </w:rPr>
            </w:pPr>
            <w:r>
              <w:rPr>
                <w:rFonts w:ascii="Verdana" w:hAnsi="Verdana" w:cs="Arial"/>
                <w:sz w:val="24"/>
                <w:szCs w:val="24"/>
              </w:rPr>
              <w:t>WAST</w:t>
            </w:r>
          </w:p>
        </w:tc>
        <w:tc>
          <w:tcPr>
            <w:tcW w:w="8585" w:type="dxa"/>
            <w:vAlign w:val="center"/>
          </w:tcPr>
          <w:p w14:paraId="2A435C77" w14:textId="159FE16C" w:rsidR="006213B0" w:rsidRDefault="006213B0" w:rsidP="00577535">
            <w:pPr>
              <w:rPr>
                <w:rFonts w:ascii="Verdana" w:hAnsi="Verdana" w:cs="Arial"/>
                <w:sz w:val="24"/>
                <w:szCs w:val="24"/>
              </w:rPr>
            </w:pPr>
            <w:r>
              <w:rPr>
                <w:rFonts w:ascii="Verdana" w:hAnsi="Verdana" w:cs="Arial"/>
                <w:sz w:val="24"/>
                <w:szCs w:val="24"/>
              </w:rPr>
              <w:t>Welsh Ambulance Services NHS Trust</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bookmarkStart w:id="0" w:name="_GoBack"/>
      <w:bookmarkEnd w:id="0"/>
      <w:r w:rsidRPr="00E23B12">
        <w:rPr>
          <w:rFonts w:ascii="Verdana" w:hAnsi="Verdana" w:cs="Arial"/>
          <w:b/>
          <w:sz w:val="24"/>
          <w:szCs w:val="24"/>
        </w:rPr>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7210CE4A" w14:textId="5125883C" w:rsidR="00750FBA" w:rsidRPr="00750FBA"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financ</w:t>
      </w:r>
      <w:r w:rsidR="00EC5D56">
        <w:rPr>
          <w:rFonts w:ascii="Verdana" w:hAnsi="Verdana" w:cs="Arial"/>
          <w:sz w:val="24"/>
        </w:rPr>
        <w:t xml:space="preserve">ial position for EASC for the </w:t>
      </w:r>
      <w:r w:rsidR="00C60197">
        <w:rPr>
          <w:rFonts w:ascii="Verdana" w:hAnsi="Verdana" w:cs="Arial"/>
          <w:sz w:val="24"/>
        </w:rPr>
        <w:t>4</w:t>
      </w:r>
      <w:r w:rsidR="00C60197" w:rsidRPr="006213B0">
        <w:rPr>
          <w:rFonts w:ascii="Verdana" w:hAnsi="Verdana" w:cs="Arial"/>
          <w:sz w:val="24"/>
          <w:vertAlign w:val="superscript"/>
        </w:rPr>
        <w:t>th</w:t>
      </w:r>
      <w:r w:rsidR="006213B0">
        <w:rPr>
          <w:rFonts w:ascii="Verdana" w:hAnsi="Verdana" w:cs="Arial"/>
          <w:sz w:val="24"/>
        </w:rPr>
        <w:t xml:space="preserve"> </w:t>
      </w:r>
      <w:r w:rsidR="00EC5D56">
        <w:rPr>
          <w:rFonts w:ascii="Verdana" w:hAnsi="Verdana" w:cs="Arial"/>
          <w:sz w:val="24"/>
        </w:rPr>
        <w:t xml:space="preserve">month of </w:t>
      </w:r>
      <w:r w:rsidR="005E1C50">
        <w:rPr>
          <w:rFonts w:ascii="Verdana" w:hAnsi="Verdana" w:cs="Arial"/>
          <w:sz w:val="24"/>
        </w:rPr>
        <w:t>2023/24</w:t>
      </w:r>
      <w:r w:rsidRPr="001028EC">
        <w:rPr>
          <w:rFonts w:ascii="Verdana" w:hAnsi="Verdana" w:cs="Arial"/>
          <w:sz w:val="24"/>
        </w:rPr>
        <w:t xml:space="preserve"> together with any action</w:t>
      </w:r>
      <w:r w:rsidR="00E7564A">
        <w:rPr>
          <w:rFonts w:ascii="Verdana" w:hAnsi="Verdana" w:cs="Arial"/>
          <w:sz w:val="24"/>
        </w:rPr>
        <w:t>s</w:t>
      </w:r>
      <w:r w:rsidRPr="001028EC">
        <w:rPr>
          <w:rFonts w:ascii="Verdana" w:hAnsi="Verdana" w:cs="Arial"/>
          <w:sz w:val="24"/>
        </w:rPr>
        <w:t xml:space="preserve"> required. </w:t>
      </w:r>
    </w:p>
    <w:tbl>
      <w:tblPr>
        <w:tblW w:w="9856" w:type="dxa"/>
        <w:tblLook w:val="04A0" w:firstRow="1" w:lastRow="0" w:firstColumn="1" w:lastColumn="0" w:noHBand="0" w:noVBand="1"/>
      </w:tblPr>
      <w:tblGrid>
        <w:gridCol w:w="3040"/>
        <w:gridCol w:w="960"/>
        <w:gridCol w:w="960"/>
        <w:gridCol w:w="960"/>
        <w:gridCol w:w="960"/>
        <w:gridCol w:w="1008"/>
        <w:gridCol w:w="960"/>
        <w:gridCol w:w="1008"/>
      </w:tblGrid>
      <w:tr w:rsidR="00C60197" w:rsidRPr="00C60197" w14:paraId="124B1860" w14:textId="77777777" w:rsidTr="006213B0">
        <w:trPr>
          <w:trHeight w:val="312"/>
        </w:trPr>
        <w:tc>
          <w:tcPr>
            <w:tcW w:w="3040" w:type="dxa"/>
            <w:tcBorders>
              <w:top w:val="nil"/>
              <w:left w:val="nil"/>
              <w:bottom w:val="nil"/>
              <w:right w:val="nil"/>
            </w:tcBorders>
            <w:shd w:val="clear" w:color="auto" w:fill="auto"/>
            <w:noWrap/>
            <w:vAlign w:val="bottom"/>
            <w:hideMark/>
          </w:tcPr>
          <w:p w14:paraId="20ABB3D8" w14:textId="4D506799" w:rsidR="00C60197" w:rsidRPr="00C60197" w:rsidRDefault="001500B9" w:rsidP="00C60197">
            <w:pPr>
              <w:spacing w:after="0" w:line="240" w:lineRule="auto"/>
              <w:rPr>
                <w:rFonts w:ascii="Arial" w:eastAsia="Times New Roman" w:hAnsi="Arial" w:cs="Arial"/>
                <w:b/>
                <w:bCs/>
                <w:sz w:val="16"/>
                <w:szCs w:val="16"/>
                <w:u w:val="single"/>
                <w:lang w:val="en-GB" w:eastAsia="en-GB"/>
              </w:rPr>
            </w:pPr>
            <w:r w:rsidRPr="001500B9">
              <w:rPr>
                <w:rFonts w:ascii="Verdana" w:hAnsi="Verdana" w:cs="Arial"/>
                <w:sz w:val="24"/>
              </w:rPr>
              <w:t xml:space="preserve"> </w:t>
            </w:r>
            <w:r w:rsidR="00C60197" w:rsidRPr="00C60197">
              <w:rPr>
                <w:rFonts w:ascii="Arial" w:eastAsia="Times New Roman" w:hAnsi="Arial" w:cs="Arial"/>
                <w:b/>
                <w:bCs/>
                <w:sz w:val="16"/>
                <w:szCs w:val="16"/>
                <w:u w:val="single"/>
                <w:lang w:val="en-GB" w:eastAsia="en-GB"/>
              </w:rPr>
              <w:t>Table 1 - financial summary</w:t>
            </w:r>
          </w:p>
        </w:tc>
        <w:tc>
          <w:tcPr>
            <w:tcW w:w="960" w:type="dxa"/>
            <w:tcBorders>
              <w:top w:val="nil"/>
              <w:left w:val="nil"/>
              <w:bottom w:val="nil"/>
              <w:right w:val="nil"/>
            </w:tcBorders>
            <w:shd w:val="clear" w:color="auto" w:fill="auto"/>
            <w:noWrap/>
            <w:vAlign w:val="bottom"/>
            <w:hideMark/>
          </w:tcPr>
          <w:p w14:paraId="761F36D7" w14:textId="77777777" w:rsidR="00C60197" w:rsidRPr="00C60197" w:rsidRDefault="00C60197" w:rsidP="00C60197">
            <w:pPr>
              <w:spacing w:after="0" w:line="240" w:lineRule="auto"/>
              <w:rPr>
                <w:rFonts w:ascii="Arial" w:eastAsia="Times New Roman" w:hAnsi="Arial" w:cs="Arial"/>
                <w:b/>
                <w:bCs/>
                <w:sz w:val="16"/>
                <w:szCs w:val="16"/>
                <w:u w:val="single"/>
                <w:lang w:val="en-GB" w:eastAsia="en-GB"/>
              </w:rPr>
            </w:pPr>
          </w:p>
        </w:tc>
        <w:tc>
          <w:tcPr>
            <w:tcW w:w="960" w:type="dxa"/>
            <w:tcBorders>
              <w:top w:val="nil"/>
              <w:left w:val="nil"/>
              <w:bottom w:val="nil"/>
              <w:right w:val="nil"/>
            </w:tcBorders>
            <w:shd w:val="clear" w:color="auto" w:fill="auto"/>
            <w:noWrap/>
            <w:vAlign w:val="bottom"/>
            <w:hideMark/>
          </w:tcPr>
          <w:p w14:paraId="2687B9FD"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3FF6D755"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7BAFA919"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1008" w:type="dxa"/>
            <w:tcBorders>
              <w:top w:val="nil"/>
              <w:left w:val="nil"/>
              <w:bottom w:val="nil"/>
              <w:right w:val="nil"/>
            </w:tcBorders>
            <w:shd w:val="clear" w:color="auto" w:fill="auto"/>
            <w:noWrap/>
            <w:vAlign w:val="bottom"/>
            <w:hideMark/>
          </w:tcPr>
          <w:p w14:paraId="1CF72064"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4FA25CFE"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1008" w:type="dxa"/>
            <w:tcBorders>
              <w:top w:val="nil"/>
              <w:left w:val="nil"/>
              <w:bottom w:val="nil"/>
              <w:right w:val="nil"/>
            </w:tcBorders>
            <w:shd w:val="clear" w:color="auto" w:fill="auto"/>
            <w:noWrap/>
            <w:vAlign w:val="bottom"/>
            <w:hideMark/>
          </w:tcPr>
          <w:p w14:paraId="22D64CC0"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r>
      <w:tr w:rsidR="00C60197" w:rsidRPr="00C60197" w14:paraId="40B617DB" w14:textId="77777777" w:rsidTr="006213B0">
        <w:trPr>
          <w:trHeight w:val="169"/>
        </w:trPr>
        <w:tc>
          <w:tcPr>
            <w:tcW w:w="3040" w:type="dxa"/>
            <w:tcBorders>
              <w:top w:val="nil"/>
              <w:left w:val="nil"/>
              <w:bottom w:val="nil"/>
              <w:right w:val="nil"/>
            </w:tcBorders>
            <w:shd w:val="clear" w:color="auto" w:fill="auto"/>
            <w:noWrap/>
            <w:vAlign w:val="bottom"/>
            <w:hideMark/>
          </w:tcPr>
          <w:p w14:paraId="65F2DE4F"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314768D2"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1B8D1E40"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0FCE4E8D"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78A82DC4"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1008" w:type="dxa"/>
            <w:tcBorders>
              <w:top w:val="nil"/>
              <w:left w:val="nil"/>
              <w:bottom w:val="nil"/>
              <w:right w:val="nil"/>
            </w:tcBorders>
            <w:shd w:val="clear" w:color="auto" w:fill="auto"/>
            <w:noWrap/>
            <w:vAlign w:val="bottom"/>
            <w:hideMark/>
          </w:tcPr>
          <w:p w14:paraId="66F0C165"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hideMark/>
          </w:tcPr>
          <w:p w14:paraId="3D383002"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c>
          <w:tcPr>
            <w:tcW w:w="1008" w:type="dxa"/>
            <w:tcBorders>
              <w:top w:val="nil"/>
              <w:left w:val="nil"/>
              <w:bottom w:val="nil"/>
              <w:right w:val="nil"/>
            </w:tcBorders>
            <w:shd w:val="clear" w:color="auto" w:fill="auto"/>
            <w:noWrap/>
            <w:vAlign w:val="bottom"/>
            <w:hideMark/>
          </w:tcPr>
          <w:p w14:paraId="2F96A148" w14:textId="77777777" w:rsidR="00C60197" w:rsidRPr="00C60197" w:rsidRDefault="00C60197" w:rsidP="00C60197">
            <w:pPr>
              <w:spacing w:after="0" w:line="240" w:lineRule="auto"/>
              <w:rPr>
                <w:rFonts w:ascii="Times New Roman" w:eastAsia="Times New Roman" w:hAnsi="Times New Roman" w:cs="Times New Roman"/>
                <w:sz w:val="20"/>
                <w:szCs w:val="20"/>
                <w:lang w:val="en-GB" w:eastAsia="en-GB"/>
              </w:rPr>
            </w:pPr>
          </w:p>
        </w:tc>
      </w:tr>
      <w:tr w:rsidR="00C60197" w:rsidRPr="00C60197" w14:paraId="4BBA3E8E" w14:textId="77777777" w:rsidTr="006213B0">
        <w:trPr>
          <w:trHeight w:val="687"/>
        </w:trPr>
        <w:tc>
          <w:tcPr>
            <w:tcW w:w="304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24BDF817" w14:textId="77777777" w:rsidR="00C60197" w:rsidRPr="00C60197" w:rsidRDefault="00C60197" w:rsidP="00C60197">
            <w:pPr>
              <w:spacing w:after="0" w:line="240" w:lineRule="auto"/>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   </w:t>
            </w:r>
          </w:p>
        </w:tc>
        <w:tc>
          <w:tcPr>
            <w:tcW w:w="960" w:type="dxa"/>
            <w:tcBorders>
              <w:top w:val="single" w:sz="4" w:space="0" w:color="auto"/>
              <w:left w:val="nil"/>
              <w:bottom w:val="single" w:sz="4" w:space="0" w:color="auto"/>
              <w:right w:val="single" w:sz="4" w:space="0" w:color="auto"/>
            </w:tcBorders>
            <w:shd w:val="clear" w:color="000000" w:fill="FCD5B4"/>
            <w:vAlign w:val="center"/>
            <w:hideMark/>
          </w:tcPr>
          <w:p w14:paraId="26E3416E"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Annual Budget </w:t>
            </w:r>
          </w:p>
        </w:tc>
        <w:tc>
          <w:tcPr>
            <w:tcW w:w="960" w:type="dxa"/>
            <w:tcBorders>
              <w:top w:val="single" w:sz="4" w:space="0" w:color="auto"/>
              <w:left w:val="nil"/>
              <w:bottom w:val="single" w:sz="4" w:space="0" w:color="auto"/>
              <w:right w:val="single" w:sz="4" w:space="0" w:color="auto"/>
            </w:tcBorders>
            <w:shd w:val="clear" w:color="000000" w:fill="FCD5B4"/>
            <w:vAlign w:val="center"/>
            <w:hideMark/>
          </w:tcPr>
          <w:p w14:paraId="7751DFD7"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Budgeted to Date </w:t>
            </w:r>
          </w:p>
        </w:tc>
        <w:tc>
          <w:tcPr>
            <w:tcW w:w="960" w:type="dxa"/>
            <w:tcBorders>
              <w:top w:val="single" w:sz="4" w:space="0" w:color="auto"/>
              <w:left w:val="nil"/>
              <w:bottom w:val="single" w:sz="4" w:space="0" w:color="auto"/>
              <w:right w:val="single" w:sz="4" w:space="0" w:color="auto"/>
            </w:tcBorders>
            <w:shd w:val="clear" w:color="000000" w:fill="FCD5B4"/>
            <w:vAlign w:val="center"/>
            <w:hideMark/>
          </w:tcPr>
          <w:p w14:paraId="1B0534DE"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Actual to Date </w:t>
            </w:r>
          </w:p>
        </w:tc>
        <w:tc>
          <w:tcPr>
            <w:tcW w:w="960" w:type="dxa"/>
            <w:tcBorders>
              <w:top w:val="single" w:sz="4" w:space="0" w:color="auto"/>
              <w:left w:val="nil"/>
              <w:bottom w:val="single" w:sz="4" w:space="0" w:color="auto"/>
              <w:right w:val="single" w:sz="4" w:space="0" w:color="auto"/>
            </w:tcBorders>
            <w:shd w:val="clear" w:color="000000" w:fill="FCD5B4"/>
            <w:vAlign w:val="center"/>
            <w:hideMark/>
          </w:tcPr>
          <w:p w14:paraId="31C9E292"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Variance to Date </w:t>
            </w:r>
          </w:p>
        </w:tc>
        <w:tc>
          <w:tcPr>
            <w:tcW w:w="1008" w:type="dxa"/>
            <w:tcBorders>
              <w:top w:val="single" w:sz="4" w:space="0" w:color="auto"/>
              <w:left w:val="nil"/>
              <w:bottom w:val="single" w:sz="4" w:space="0" w:color="auto"/>
              <w:right w:val="single" w:sz="4" w:space="0" w:color="auto"/>
            </w:tcBorders>
            <w:shd w:val="clear" w:color="000000" w:fill="B7DEE8"/>
            <w:vAlign w:val="center"/>
            <w:hideMark/>
          </w:tcPr>
          <w:p w14:paraId="2905BE2D"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Movement in Var to date </w:t>
            </w:r>
          </w:p>
        </w:tc>
        <w:tc>
          <w:tcPr>
            <w:tcW w:w="960" w:type="dxa"/>
            <w:tcBorders>
              <w:top w:val="single" w:sz="4" w:space="0" w:color="auto"/>
              <w:left w:val="nil"/>
              <w:bottom w:val="single" w:sz="4" w:space="0" w:color="auto"/>
              <w:right w:val="single" w:sz="4" w:space="0" w:color="auto"/>
            </w:tcBorders>
            <w:shd w:val="clear" w:color="000000" w:fill="FCD5B4"/>
            <w:vAlign w:val="center"/>
            <w:hideMark/>
          </w:tcPr>
          <w:p w14:paraId="5C5D9498"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Current EOYF</w:t>
            </w:r>
          </w:p>
        </w:tc>
        <w:tc>
          <w:tcPr>
            <w:tcW w:w="1008" w:type="dxa"/>
            <w:tcBorders>
              <w:top w:val="single" w:sz="4" w:space="0" w:color="auto"/>
              <w:left w:val="nil"/>
              <w:bottom w:val="single" w:sz="4" w:space="0" w:color="auto"/>
              <w:right w:val="single" w:sz="4" w:space="0" w:color="auto"/>
            </w:tcBorders>
            <w:shd w:val="clear" w:color="000000" w:fill="B7DEE8"/>
            <w:vAlign w:val="center"/>
            <w:hideMark/>
          </w:tcPr>
          <w:p w14:paraId="0D1A79AB"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Movement in EOYF position</w:t>
            </w:r>
          </w:p>
        </w:tc>
      </w:tr>
      <w:tr w:rsidR="00C60197" w:rsidRPr="00C60197" w14:paraId="207497AE" w14:textId="77777777" w:rsidTr="006213B0">
        <w:trPr>
          <w:trHeight w:val="255"/>
        </w:trPr>
        <w:tc>
          <w:tcPr>
            <w:tcW w:w="3040" w:type="dxa"/>
            <w:tcBorders>
              <w:top w:val="nil"/>
              <w:left w:val="single" w:sz="4" w:space="0" w:color="auto"/>
              <w:bottom w:val="single" w:sz="4" w:space="0" w:color="auto"/>
              <w:right w:val="single" w:sz="4" w:space="0" w:color="auto"/>
            </w:tcBorders>
            <w:shd w:val="clear" w:color="000000" w:fill="FCD5B4"/>
            <w:noWrap/>
            <w:vAlign w:val="center"/>
            <w:hideMark/>
          </w:tcPr>
          <w:p w14:paraId="42FEB895" w14:textId="77777777" w:rsidR="00C60197" w:rsidRPr="00C60197" w:rsidRDefault="00C60197" w:rsidP="00C60197">
            <w:pPr>
              <w:spacing w:after="0" w:line="240" w:lineRule="auto"/>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w:t>
            </w:r>
          </w:p>
        </w:tc>
        <w:tc>
          <w:tcPr>
            <w:tcW w:w="960" w:type="dxa"/>
            <w:tcBorders>
              <w:top w:val="nil"/>
              <w:left w:val="nil"/>
              <w:bottom w:val="single" w:sz="4" w:space="0" w:color="auto"/>
              <w:right w:val="single" w:sz="4" w:space="0" w:color="auto"/>
            </w:tcBorders>
            <w:shd w:val="clear" w:color="000000" w:fill="FCD5B4"/>
            <w:noWrap/>
            <w:vAlign w:val="center"/>
            <w:hideMark/>
          </w:tcPr>
          <w:p w14:paraId="40FC14A7"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£'000 </w:t>
            </w:r>
          </w:p>
        </w:tc>
        <w:tc>
          <w:tcPr>
            <w:tcW w:w="960" w:type="dxa"/>
            <w:tcBorders>
              <w:top w:val="nil"/>
              <w:left w:val="nil"/>
              <w:bottom w:val="single" w:sz="4" w:space="0" w:color="auto"/>
              <w:right w:val="single" w:sz="4" w:space="0" w:color="auto"/>
            </w:tcBorders>
            <w:shd w:val="clear" w:color="000000" w:fill="FCD5B4"/>
            <w:noWrap/>
            <w:vAlign w:val="center"/>
            <w:hideMark/>
          </w:tcPr>
          <w:p w14:paraId="21B1336B"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£'000 </w:t>
            </w:r>
          </w:p>
        </w:tc>
        <w:tc>
          <w:tcPr>
            <w:tcW w:w="960" w:type="dxa"/>
            <w:tcBorders>
              <w:top w:val="nil"/>
              <w:left w:val="nil"/>
              <w:bottom w:val="single" w:sz="4" w:space="0" w:color="auto"/>
              <w:right w:val="single" w:sz="4" w:space="0" w:color="auto"/>
            </w:tcBorders>
            <w:shd w:val="clear" w:color="000000" w:fill="FCD5B4"/>
            <w:noWrap/>
            <w:vAlign w:val="center"/>
            <w:hideMark/>
          </w:tcPr>
          <w:p w14:paraId="260E672A"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£'000 </w:t>
            </w:r>
          </w:p>
        </w:tc>
        <w:tc>
          <w:tcPr>
            <w:tcW w:w="960" w:type="dxa"/>
            <w:tcBorders>
              <w:top w:val="nil"/>
              <w:left w:val="nil"/>
              <w:bottom w:val="single" w:sz="4" w:space="0" w:color="auto"/>
              <w:right w:val="single" w:sz="4" w:space="0" w:color="auto"/>
            </w:tcBorders>
            <w:shd w:val="clear" w:color="000000" w:fill="FCD5B4"/>
            <w:noWrap/>
            <w:vAlign w:val="center"/>
            <w:hideMark/>
          </w:tcPr>
          <w:p w14:paraId="11988130"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£'000 </w:t>
            </w:r>
          </w:p>
        </w:tc>
        <w:tc>
          <w:tcPr>
            <w:tcW w:w="1008" w:type="dxa"/>
            <w:tcBorders>
              <w:top w:val="nil"/>
              <w:left w:val="nil"/>
              <w:bottom w:val="single" w:sz="4" w:space="0" w:color="auto"/>
              <w:right w:val="single" w:sz="4" w:space="0" w:color="auto"/>
            </w:tcBorders>
            <w:shd w:val="clear" w:color="000000" w:fill="B7DEE8"/>
            <w:noWrap/>
            <w:vAlign w:val="center"/>
            <w:hideMark/>
          </w:tcPr>
          <w:p w14:paraId="22A0DA7E"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£'000 </w:t>
            </w:r>
          </w:p>
        </w:tc>
        <w:tc>
          <w:tcPr>
            <w:tcW w:w="960" w:type="dxa"/>
            <w:tcBorders>
              <w:top w:val="nil"/>
              <w:left w:val="nil"/>
              <w:bottom w:val="single" w:sz="4" w:space="0" w:color="auto"/>
              <w:right w:val="single" w:sz="4" w:space="0" w:color="auto"/>
            </w:tcBorders>
            <w:shd w:val="clear" w:color="000000" w:fill="FCD5B4"/>
            <w:vAlign w:val="bottom"/>
            <w:hideMark/>
          </w:tcPr>
          <w:p w14:paraId="0FEAD544"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£'000</w:t>
            </w:r>
          </w:p>
        </w:tc>
        <w:tc>
          <w:tcPr>
            <w:tcW w:w="1008" w:type="dxa"/>
            <w:tcBorders>
              <w:top w:val="nil"/>
              <w:left w:val="nil"/>
              <w:bottom w:val="single" w:sz="4" w:space="0" w:color="auto"/>
              <w:right w:val="single" w:sz="4" w:space="0" w:color="auto"/>
            </w:tcBorders>
            <w:shd w:val="clear" w:color="000000" w:fill="B7DEE8"/>
            <w:vAlign w:val="bottom"/>
            <w:hideMark/>
          </w:tcPr>
          <w:p w14:paraId="3F043BBD" w14:textId="77777777" w:rsidR="00C60197" w:rsidRPr="00C60197" w:rsidRDefault="00C60197" w:rsidP="00C60197">
            <w:pPr>
              <w:spacing w:after="0" w:line="240" w:lineRule="auto"/>
              <w:jc w:val="center"/>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£'000</w:t>
            </w:r>
          </w:p>
        </w:tc>
      </w:tr>
      <w:tr w:rsidR="00C60197" w:rsidRPr="00C60197" w14:paraId="357EC8D6" w14:textId="77777777" w:rsidTr="006213B0">
        <w:trPr>
          <w:trHeight w:val="285"/>
        </w:trPr>
        <w:tc>
          <w:tcPr>
            <w:tcW w:w="3040" w:type="dxa"/>
            <w:tcBorders>
              <w:top w:val="nil"/>
              <w:left w:val="single" w:sz="4" w:space="0" w:color="auto"/>
              <w:bottom w:val="single" w:sz="4" w:space="0" w:color="auto"/>
              <w:right w:val="single" w:sz="4" w:space="0" w:color="auto"/>
            </w:tcBorders>
            <w:shd w:val="clear" w:color="000000" w:fill="FFFFFF"/>
            <w:noWrap/>
            <w:vAlign w:val="center"/>
            <w:hideMark/>
          </w:tcPr>
          <w:p w14:paraId="33EBB5C5" w14:textId="77777777" w:rsidR="00C60197" w:rsidRPr="00C60197" w:rsidRDefault="00C60197" w:rsidP="00C60197">
            <w:pPr>
              <w:spacing w:after="0" w:line="240" w:lineRule="auto"/>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 WAST EMS </w:t>
            </w:r>
          </w:p>
        </w:tc>
        <w:tc>
          <w:tcPr>
            <w:tcW w:w="960" w:type="dxa"/>
            <w:tcBorders>
              <w:top w:val="nil"/>
              <w:left w:val="nil"/>
              <w:bottom w:val="single" w:sz="4" w:space="0" w:color="auto"/>
              <w:right w:val="single" w:sz="4" w:space="0" w:color="auto"/>
            </w:tcBorders>
            <w:shd w:val="clear" w:color="000000" w:fill="FFFFFF"/>
            <w:noWrap/>
            <w:vAlign w:val="center"/>
            <w:hideMark/>
          </w:tcPr>
          <w:p w14:paraId="74A90BF2"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216,610 </w:t>
            </w:r>
          </w:p>
        </w:tc>
        <w:tc>
          <w:tcPr>
            <w:tcW w:w="960" w:type="dxa"/>
            <w:tcBorders>
              <w:top w:val="nil"/>
              <w:left w:val="nil"/>
              <w:bottom w:val="single" w:sz="4" w:space="0" w:color="auto"/>
              <w:right w:val="single" w:sz="4" w:space="0" w:color="auto"/>
            </w:tcBorders>
            <w:shd w:val="clear" w:color="000000" w:fill="FFFFFF"/>
            <w:noWrap/>
            <w:vAlign w:val="center"/>
            <w:hideMark/>
          </w:tcPr>
          <w:p w14:paraId="143C4AC3"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72,203 </w:t>
            </w:r>
          </w:p>
        </w:tc>
        <w:tc>
          <w:tcPr>
            <w:tcW w:w="960" w:type="dxa"/>
            <w:tcBorders>
              <w:top w:val="nil"/>
              <w:left w:val="nil"/>
              <w:bottom w:val="single" w:sz="4" w:space="0" w:color="auto"/>
              <w:right w:val="single" w:sz="4" w:space="0" w:color="auto"/>
            </w:tcBorders>
            <w:shd w:val="clear" w:color="000000" w:fill="FFFFFF"/>
            <w:noWrap/>
            <w:vAlign w:val="center"/>
            <w:hideMark/>
          </w:tcPr>
          <w:p w14:paraId="680CDA74"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72,203 </w:t>
            </w:r>
          </w:p>
        </w:tc>
        <w:tc>
          <w:tcPr>
            <w:tcW w:w="960" w:type="dxa"/>
            <w:tcBorders>
              <w:top w:val="nil"/>
              <w:left w:val="nil"/>
              <w:bottom w:val="single" w:sz="4" w:space="0" w:color="auto"/>
              <w:right w:val="single" w:sz="4" w:space="0" w:color="auto"/>
            </w:tcBorders>
            <w:shd w:val="clear" w:color="000000" w:fill="FFFFFF"/>
            <w:noWrap/>
            <w:vAlign w:val="center"/>
            <w:hideMark/>
          </w:tcPr>
          <w:p w14:paraId="50257625"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483259C2"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960" w:type="dxa"/>
            <w:tcBorders>
              <w:top w:val="nil"/>
              <w:left w:val="nil"/>
              <w:bottom w:val="single" w:sz="4" w:space="0" w:color="auto"/>
              <w:right w:val="single" w:sz="4" w:space="0" w:color="auto"/>
            </w:tcBorders>
            <w:shd w:val="clear" w:color="000000" w:fill="FFFFFF"/>
            <w:noWrap/>
            <w:vAlign w:val="center"/>
            <w:hideMark/>
          </w:tcPr>
          <w:p w14:paraId="4EAA4C08"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76339F9A"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r>
      <w:tr w:rsidR="00C60197" w:rsidRPr="00C60197" w14:paraId="3556A656" w14:textId="77777777" w:rsidTr="006213B0">
        <w:trPr>
          <w:trHeight w:val="285"/>
        </w:trPr>
        <w:tc>
          <w:tcPr>
            <w:tcW w:w="3040" w:type="dxa"/>
            <w:tcBorders>
              <w:top w:val="nil"/>
              <w:left w:val="single" w:sz="4" w:space="0" w:color="auto"/>
              <w:bottom w:val="single" w:sz="4" w:space="0" w:color="auto"/>
              <w:right w:val="single" w:sz="4" w:space="0" w:color="auto"/>
            </w:tcBorders>
            <w:shd w:val="clear" w:color="auto" w:fill="auto"/>
            <w:noWrap/>
            <w:vAlign w:val="center"/>
            <w:hideMark/>
          </w:tcPr>
          <w:p w14:paraId="5BEB972D" w14:textId="77777777" w:rsidR="00C60197" w:rsidRPr="00C60197" w:rsidRDefault="00C60197" w:rsidP="00C60197">
            <w:pPr>
              <w:spacing w:after="0" w:line="240" w:lineRule="auto"/>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 Renal NEPTS </w:t>
            </w:r>
          </w:p>
        </w:tc>
        <w:tc>
          <w:tcPr>
            <w:tcW w:w="960" w:type="dxa"/>
            <w:tcBorders>
              <w:top w:val="nil"/>
              <w:left w:val="nil"/>
              <w:bottom w:val="single" w:sz="4" w:space="0" w:color="auto"/>
              <w:right w:val="single" w:sz="4" w:space="0" w:color="auto"/>
            </w:tcBorders>
            <w:shd w:val="clear" w:color="000000" w:fill="FFFFFF"/>
            <w:noWrap/>
            <w:vAlign w:val="center"/>
            <w:hideMark/>
          </w:tcPr>
          <w:p w14:paraId="78138697"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1,223 </w:t>
            </w:r>
          </w:p>
        </w:tc>
        <w:tc>
          <w:tcPr>
            <w:tcW w:w="960" w:type="dxa"/>
            <w:tcBorders>
              <w:top w:val="nil"/>
              <w:left w:val="nil"/>
              <w:bottom w:val="single" w:sz="4" w:space="0" w:color="auto"/>
              <w:right w:val="single" w:sz="4" w:space="0" w:color="auto"/>
            </w:tcBorders>
            <w:shd w:val="clear" w:color="000000" w:fill="FFFFFF"/>
            <w:noWrap/>
            <w:vAlign w:val="center"/>
            <w:hideMark/>
          </w:tcPr>
          <w:p w14:paraId="201F489E"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408 </w:t>
            </w:r>
          </w:p>
        </w:tc>
        <w:tc>
          <w:tcPr>
            <w:tcW w:w="960" w:type="dxa"/>
            <w:tcBorders>
              <w:top w:val="nil"/>
              <w:left w:val="nil"/>
              <w:bottom w:val="single" w:sz="4" w:space="0" w:color="auto"/>
              <w:right w:val="single" w:sz="4" w:space="0" w:color="auto"/>
            </w:tcBorders>
            <w:shd w:val="clear" w:color="000000" w:fill="FFFFFF"/>
            <w:noWrap/>
            <w:vAlign w:val="center"/>
            <w:hideMark/>
          </w:tcPr>
          <w:p w14:paraId="6B318F51"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408 </w:t>
            </w:r>
          </w:p>
        </w:tc>
        <w:tc>
          <w:tcPr>
            <w:tcW w:w="960" w:type="dxa"/>
            <w:tcBorders>
              <w:top w:val="nil"/>
              <w:left w:val="nil"/>
              <w:bottom w:val="single" w:sz="4" w:space="0" w:color="auto"/>
              <w:right w:val="single" w:sz="4" w:space="0" w:color="auto"/>
            </w:tcBorders>
            <w:shd w:val="clear" w:color="000000" w:fill="FFFFFF"/>
            <w:noWrap/>
            <w:vAlign w:val="center"/>
            <w:hideMark/>
          </w:tcPr>
          <w:p w14:paraId="6753FFEC"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1C8DF759"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960" w:type="dxa"/>
            <w:tcBorders>
              <w:top w:val="nil"/>
              <w:left w:val="nil"/>
              <w:bottom w:val="single" w:sz="4" w:space="0" w:color="auto"/>
              <w:right w:val="single" w:sz="4" w:space="0" w:color="auto"/>
            </w:tcBorders>
            <w:shd w:val="clear" w:color="000000" w:fill="FFFFFF"/>
            <w:noWrap/>
            <w:vAlign w:val="center"/>
            <w:hideMark/>
          </w:tcPr>
          <w:p w14:paraId="0D56D96B"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57DF874E"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r>
      <w:tr w:rsidR="00C60197" w:rsidRPr="00C60197" w14:paraId="4DAB0F6C" w14:textId="77777777" w:rsidTr="006213B0">
        <w:trPr>
          <w:trHeight w:val="285"/>
        </w:trPr>
        <w:tc>
          <w:tcPr>
            <w:tcW w:w="3040" w:type="dxa"/>
            <w:tcBorders>
              <w:top w:val="nil"/>
              <w:left w:val="single" w:sz="4" w:space="0" w:color="auto"/>
              <w:bottom w:val="single" w:sz="4" w:space="0" w:color="auto"/>
              <w:right w:val="single" w:sz="4" w:space="0" w:color="auto"/>
            </w:tcBorders>
            <w:shd w:val="clear" w:color="auto" w:fill="auto"/>
            <w:noWrap/>
            <w:vAlign w:val="center"/>
            <w:hideMark/>
          </w:tcPr>
          <w:p w14:paraId="5837F367" w14:textId="77777777" w:rsidR="00C60197" w:rsidRPr="00C60197" w:rsidRDefault="00C60197" w:rsidP="00C60197">
            <w:pPr>
              <w:spacing w:after="0" w:line="240" w:lineRule="auto"/>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 EASC - EMRTS </w:t>
            </w:r>
          </w:p>
        </w:tc>
        <w:tc>
          <w:tcPr>
            <w:tcW w:w="960" w:type="dxa"/>
            <w:tcBorders>
              <w:top w:val="nil"/>
              <w:left w:val="nil"/>
              <w:bottom w:val="single" w:sz="4" w:space="0" w:color="auto"/>
              <w:right w:val="single" w:sz="4" w:space="0" w:color="auto"/>
            </w:tcBorders>
            <w:shd w:val="clear" w:color="000000" w:fill="FFFFFF"/>
            <w:noWrap/>
            <w:vAlign w:val="center"/>
            <w:hideMark/>
          </w:tcPr>
          <w:p w14:paraId="75819F2A"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8,106 </w:t>
            </w:r>
          </w:p>
        </w:tc>
        <w:tc>
          <w:tcPr>
            <w:tcW w:w="960" w:type="dxa"/>
            <w:tcBorders>
              <w:top w:val="nil"/>
              <w:left w:val="nil"/>
              <w:bottom w:val="single" w:sz="4" w:space="0" w:color="auto"/>
              <w:right w:val="single" w:sz="4" w:space="0" w:color="auto"/>
            </w:tcBorders>
            <w:shd w:val="clear" w:color="000000" w:fill="FFFFFF"/>
            <w:noWrap/>
            <w:vAlign w:val="center"/>
            <w:hideMark/>
          </w:tcPr>
          <w:p w14:paraId="08C40BEB"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2,702 </w:t>
            </w:r>
          </w:p>
        </w:tc>
        <w:tc>
          <w:tcPr>
            <w:tcW w:w="960" w:type="dxa"/>
            <w:tcBorders>
              <w:top w:val="nil"/>
              <w:left w:val="nil"/>
              <w:bottom w:val="single" w:sz="4" w:space="0" w:color="auto"/>
              <w:right w:val="single" w:sz="4" w:space="0" w:color="auto"/>
            </w:tcBorders>
            <w:shd w:val="clear" w:color="000000" w:fill="FFFFFF"/>
            <w:noWrap/>
            <w:vAlign w:val="center"/>
            <w:hideMark/>
          </w:tcPr>
          <w:p w14:paraId="6409DB02"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2,702 </w:t>
            </w:r>
          </w:p>
        </w:tc>
        <w:tc>
          <w:tcPr>
            <w:tcW w:w="960" w:type="dxa"/>
            <w:tcBorders>
              <w:top w:val="nil"/>
              <w:left w:val="nil"/>
              <w:bottom w:val="single" w:sz="4" w:space="0" w:color="auto"/>
              <w:right w:val="single" w:sz="4" w:space="0" w:color="auto"/>
            </w:tcBorders>
            <w:shd w:val="clear" w:color="000000" w:fill="FFFFFF"/>
            <w:noWrap/>
            <w:vAlign w:val="center"/>
            <w:hideMark/>
          </w:tcPr>
          <w:p w14:paraId="6923D51C"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1EB376E7"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960" w:type="dxa"/>
            <w:tcBorders>
              <w:top w:val="nil"/>
              <w:left w:val="nil"/>
              <w:bottom w:val="single" w:sz="4" w:space="0" w:color="auto"/>
              <w:right w:val="single" w:sz="4" w:space="0" w:color="auto"/>
            </w:tcBorders>
            <w:shd w:val="clear" w:color="000000" w:fill="FFFFFF"/>
            <w:noWrap/>
            <w:vAlign w:val="center"/>
            <w:hideMark/>
          </w:tcPr>
          <w:p w14:paraId="65E54CB0"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28BBF4CC"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r>
      <w:tr w:rsidR="00C60197" w:rsidRPr="00C60197" w14:paraId="635E8918" w14:textId="77777777" w:rsidTr="006213B0">
        <w:trPr>
          <w:trHeight w:val="675"/>
        </w:trPr>
        <w:tc>
          <w:tcPr>
            <w:tcW w:w="3040" w:type="dxa"/>
            <w:tcBorders>
              <w:top w:val="nil"/>
              <w:left w:val="single" w:sz="4" w:space="0" w:color="auto"/>
              <w:bottom w:val="single" w:sz="4" w:space="0" w:color="auto"/>
              <w:right w:val="single" w:sz="4" w:space="0" w:color="auto"/>
            </w:tcBorders>
            <w:shd w:val="clear" w:color="auto" w:fill="auto"/>
            <w:vAlign w:val="center"/>
            <w:hideMark/>
          </w:tcPr>
          <w:p w14:paraId="367B8FDB" w14:textId="77777777" w:rsidR="00C60197" w:rsidRPr="00C60197" w:rsidRDefault="00C60197" w:rsidP="00C60197">
            <w:pPr>
              <w:spacing w:after="0" w:line="240" w:lineRule="auto"/>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 EASC Ring Fenced Allocations Remainder and Specialised Commissioning </w:t>
            </w:r>
          </w:p>
        </w:tc>
        <w:tc>
          <w:tcPr>
            <w:tcW w:w="960" w:type="dxa"/>
            <w:tcBorders>
              <w:top w:val="nil"/>
              <w:left w:val="nil"/>
              <w:bottom w:val="single" w:sz="4" w:space="0" w:color="auto"/>
              <w:right w:val="single" w:sz="4" w:space="0" w:color="auto"/>
            </w:tcBorders>
            <w:shd w:val="clear" w:color="000000" w:fill="FFFFFF"/>
            <w:noWrap/>
            <w:vAlign w:val="center"/>
            <w:hideMark/>
          </w:tcPr>
          <w:p w14:paraId="3D4A946F"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19,816 </w:t>
            </w:r>
          </w:p>
        </w:tc>
        <w:tc>
          <w:tcPr>
            <w:tcW w:w="960" w:type="dxa"/>
            <w:tcBorders>
              <w:top w:val="nil"/>
              <w:left w:val="nil"/>
              <w:bottom w:val="single" w:sz="4" w:space="0" w:color="auto"/>
              <w:right w:val="single" w:sz="4" w:space="0" w:color="auto"/>
            </w:tcBorders>
            <w:shd w:val="clear" w:color="000000" w:fill="FFFFFF"/>
            <w:noWrap/>
            <w:vAlign w:val="center"/>
            <w:hideMark/>
          </w:tcPr>
          <w:p w14:paraId="712D31ED"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6,605 </w:t>
            </w:r>
          </w:p>
        </w:tc>
        <w:tc>
          <w:tcPr>
            <w:tcW w:w="960" w:type="dxa"/>
            <w:tcBorders>
              <w:top w:val="nil"/>
              <w:left w:val="nil"/>
              <w:bottom w:val="single" w:sz="4" w:space="0" w:color="auto"/>
              <w:right w:val="single" w:sz="4" w:space="0" w:color="auto"/>
            </w:tcBorders>
            <w:shd w:val="clear" w:color="000000" w:fill="FFFFFF"/>
            <w:noWrap/>
            <w:vAlign w:val="center"/>
            <w:hideMark/>
          </w:tcPr>
          <w:p w14:paraId="6DE13580"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6,605 </w:t>
            </w:r>
          </w:p>
        </w:tc>
        <w:tc>
          <w:tcPr>
            <w:tcW w:w="960" w:type="dxa"/>
            <w:tcBorders>
              <w:top w:val="nil"/>
              <w:left w:val="nil"/>
              <w:bottom w:val="single" w:sz="4" w:space="0" w:color="auto"/>
              <w:right w:val="single" w:sz="4" w:space="0" w:color="auto"/>
            </w:tcBorders>
            <w:shd w:val="clear" w:color="000000" w:fill="FFFFFF"/>
            <w:noWrap/>
            <w:vAlign w:val="center"/>
            <w:hideMark/>
          </w:tcPr>
          <w:p w14:paraId="73CE589F"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4E2AC5F8"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960" w:type="dxa"/>
            <w:tcBorders>
              <w:top w:val="nil"/>
              <w:left w:val="nil"/>
              <w:bottom w:val="single" w:sz="4" w:space="0" w:color="auto"/>
              <w:right w:val="single" w:sz="4" w:space="0" w:color="auto"/>
            </w:tcBorders>
            <w:shd w:val="clear" w:color="000000" w:fill="FFFFFF"/>
            <w:noWrap/>
            <w:vAlign w:val="center"/>
            <w:hideMark/>
          </w:tcPr>
          <w:p w14:paraId="59F99ED2"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584ED56D"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r>
      <w:tr w:rsidR="00C60197" w:rsidRPr="00C60197" w14:paraId="17B914C7" w14:textId="77777777" w:rsidTr="006213B0">
        <w:trPr>
          <w:trHeight w:val="285"/>
        </w:trPr>
        <w:tc>
          <w:tcPr>
            <w:tcW w:w="3040" w:type="dxa"/>
            <w:tcBorders>
              <w:top w:val="nil"/>
              <w:left w:val="single" w:sz="4" w:space="0" w:color="auto"/>
              <w:bottom w:val="single" w:sz="4" w:space="0" w:color="auto"/>
              <w:right w:val="single" w:sz="4" w:space="0" w:color="auto"/>
            </w:tcBorders>
            <w:shd w:val="clear" w:color="auto" w:fill="auto"/>
            <w:noWrap/>
            <w:vAlign w:val="center"/>
            <w:hideMark/>
          </w:tcPr>
          <w:p w14:paraId="3CBE3709" w14:textId="77777777" w:rsidR="00C60197" w:rsidRPr="00C60197" w:rsidRDefault="00C60197" w:rsidP="00C60197">
            <w:pPr>
              <w:spacing w:after="0" w:line="240" w:lineRule="auto"/>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 EASC Team </w:t>
            </w:r>
          </w:p>
        </w:tc>
        <w:tc>
          <w:tcPr>
            <w:tcW w:w="960" w:type="dxa"/>
            <w:tcBorders>
              <w:top w:val="nil"/>
              <w:left w:val="nil"/>
              <w:bottom w:val="single" w:sz="4" w:space="0" w:color="auto"/>
              <w:right w:val="single" w:sz="4" w:space="0" w:color="auto"/>
            </w:tcBorders>
            <w:shd w:val="clear" w:color="000000" w:fill="FFFFFF"/>
            <w:noWrap/>
            <w:vAlign w:val="center"/>
            <w:hideMark/>
          </w:tcPr>
          <w:p w14:paraId="68521B86"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627 </w:t>
            </w:r>
          </w:p>
        </w:tc>
        <w:tc>
          <w:tcPr>
            <w:tcW w:w="960" w:type="dxa"/>
            <w:tcBorders>
              <w:top w:val="nil"/>
              <w:left w:val="nil"/>
              <w:bottom w:val="single" w:sz="4" w:space="0" w:color="auto"/>
              <w:right w:val="single" w:sz="4" w:space="0" w:color="auto"/>
            </w:tcBorders>
            <w:shd w:val="clear" w:color="000000" w:fill="FFFFFF"/>
            <w:noWrap/>
            <w:vAlign w:val="center"/>
            <w:hideMark/>
          </w:tcPr>
          <w:p w14:paraId="30F6D9EB"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209 </w:t>
            </w:r>
          </w:p>
        </w:tc>
        <w:tc>
          <w:tcPr>
            <w:tcW w:w="960" w:type="dxa"/>
            <w:tcBorders>
              <w:top w:val="nil"/>
              <w:left w:val="nil"/>
              <w:bottom w:val="single" w:sz="4" w:space="0" w:color="auto"/>
              <w:right w:val="single" w:sz="4" w:space="0" w:color="auto"/>
            </w:tcBorders>
            <w:shd w:val="clear" w:color="000000" w:fill="FFFFFF"/>
            <w:noWrap/>
            <w:vAlign w:val="center"/>
            <w:hideMark/>
          </w:tcPr>
          <w:p w14:paraId="0912D7FA"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209 </w:t>
            </w:r>
          </w:p>
        </w:tc>
        <w:tc>
          <w:tcPr>
            <w:tcW w:w="960" w:type="dxa"/>
            <w:tcBorders>
              <w:top w:val="nil"/>
              <w:left w:val="nil"/>
              <w:bottom w:val="single" w:sz="4" w:space="0" w:color="auto"/>
              <w:right w:val="single" w:sz="4" w:space="0" w:color="auto"/>
            </w:tcBorders>
            <w:shd w:val="clear" w:color="000000" w:fill="FFFFFF"/>
            <w:noWrap/>
            <w:vAlign w:val="center"/>
            <w:hideMark/>
          </w:tcPr>
          <w:p w14:paraId="32F44FDD"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61A8940B"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960" w:type="dxa"/>
            <w:tcBorders>
              <w:top w:val="nil"/>
              <w:left w:val="nil"/>
              <w:bottom w:val="single" w:sz="4" w:space="0" w:color="auto"/>
              <w:right w:val="single" w:sz="4" w:space="0" w:color="auto"/>
            </w:tcBorders>
            <w:shd w:val="clear" w:color="000000" w:fill="FFFFFF"/>
            <w:noWrap/>
            <w:vAlign w:val="center"/>
            <w:hideMark/>
          </w:tcPr>
          <w:p w14:paraId="1B446422"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FFFFFF"/>
            <w:noWrap/>
            <w:vAlign w:val="center"/>
            <w:hideMark/>
          </w:tcPr>
          <w:p w14:paraId="29C222AD" w14:textId="77777777" w:rsidR="00C60197" w:rsidRPr="00C60197" w:rsidRDefault="00C60197" w:rsidP="00C60197">
            <w:pPr>
              <w:spacing w:after="0" w:line="240" w:lineRule="auto"/>
              <w:jc w:val="right"/>
              <w:rPr>
                <w:rFonts w:ascii="Arial" w:eastAsia="Times New Roman" w:hAnsi="Arial" w:cs="Arial"/>
                <w:sz w:val="16"/>
                <w:szCs w:val="16"/>
                <w:lang w:val="en-GB" w:eastAsia="en-GB"/>
              </w:rPr>
            </w:pPr>
            <w:r w:rsidRPr="00C60197">
              <w:rPr>
                <w:rFonts w:ascii="Arial" w:eastAsia="Times New Roman" w:hAnsi="Arial" w:cs="Arial"/>
                <w:sz w:val="16"/>
                <w:szCs w:val="16"/>
                <w:lang w:val="en-GB" w:eastAsia="en-GB"/>
              </w:rPr>
              <w:t xml:space="preserve">0 </w:t>
            </w:r>
          </w:p>
        </w:tc>
      </w:tr>
      <w:tr w:rsidR="00C60197" w:rsidRPr="00C60197" w14:paraId="0C720763" w14:textId="77777777" w:rsidTr="006213B0">
        <w:trPr>
          <w:trHeight w:val="285"/>
        </w:trPr>
        <w:tc>
          <w:tcPr>
            <w:tcW w:w="3040" w:type="dxa"/>
            <w:tcBorders>
              <w:top w:val="nil"/>
              <w:left w:val="single" w:sz="4" w:space="0" w:color="auto"/>
              <w:bottom w:val="single" w:sz="4" w:space="0" w:color="auto"/>
              <w:right w:val="single" w:sz="4" w:space="0" w:color="auto"/>
            </w:tcBorders>
            <w:shd w:val="clear" w:color="000000" w:fill="FCD5B4"/>
            <w:noWrap/>
            <w:vAlign w:val="center"/>
            <w:hideMark/>
          </w:tcPr>
          <w:p w14:paraId="2C493B34" w14:textId="77777777" w:rsidR="00C60197" w:rsidRPr="00C60197" w:rsidRDefault="00C60197" w:rsidP="00C60197">
            <w:pPr>
              <w:spacing w:after="0" w:line="240" w:lineRule="auto"/>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 Total EASC </w:t>
            </w:r>
          </w:p>
        </w:tc>
        <w:tc>
          <w:tcPr>
            <w:tcW w:w="960" w:type="dxa"/>
            <w:tcBorders>
              <w:top w:val="nil"/>
              <w:left w:val="nil"/>
              <w:bottom w:val="single" w:sz="4" w:space="0" w:color="auto"/>
              <w:right w:val="single" w:sz="4" w:space="0" w:color="auto"/>
            </w:tcBorders>
            <w:shd w:val="clear" w:color="000000" w:fill="FCD5B4"/>
            <w:noWrap/>
            <w:vAlign w:val="center"/>
            <w:hideMark/>
          </w:tcPr>
          <w:p w14:paraId="10710845" w14:textId="77777777" w:rsidR="00C60197" w:rsidRPr="00C60197" w:rsidRDefault="00C60197" w:rsidP="00C60197">
            <w:pPr>
              <w:spacing w:after="0" w:line="240" w:lineRule="auto"/>
              <w:jc w:val="right"/>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246,382 </w:t>
            </w:r>
          </w:p>
        </w:tc>
        <w:tc>
          <w:tcPr>
            <w:tcW w:w="960" w:type="dxa"/>
            <w:tcBorders>
              <w:top w:val="nil"/>
              <w:left w:val="nil"/>
              <w:bottom w:val="single" w:sz="4" w:space="0" w:color="auto"/>
              <w:right w:val="single" w:sz="4" w:space="0" w:color="auto"/>
            </w:tcBorders>
            <w:shd w:val="clear" w:color="000000" w:fill="FCD5B4"/>
            <w:noWrap/>
            <w:vAlign w:val="center"/>
            <w:hideMark/>
          </w:tcPr>
          <w:p w14:paraId="5B56F264" w14:textId="77777777" w:rsidR="00C60197" w:rsidRPr="00C60197" w:rsidRDefault="00C60197" w:rsidP="00C60197">
            <w:pPr>
              <w:spacing w:after="0" w:line="240" w:lineRule="auto"/>
              <w:jc w:val="right"/>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82,127 </w:t>
            </w:r>
          </w:p>
        </w:tc>
        <w:tc>
          <w:tcPr>
            <w:tcW w:w="960" w:type="dxa"/>
            <w:tcBorders>
              <w:top w:val="nil"/>
              <w:left w:val="nil"/>
              <w:bottom w:val="single" w:sz="4" w:space="0" w:color="auto"/>
              <w:right w:val="single" w:sz="4" w:space="0" w:color="auto"/>
            </w:tcBorders>
            <w:shd w:val="clear" w:color="000000" w:fill="FCD5B4"/>
            <w:noWrap/>
            <w:vAlign w:val="center"/>
            <w:hideMark/>
          </w:tcPr>
          <w:p w14:paraId="319DD06E" w14:textId="77777777" w:rsidR="00C60197" w:rsidRPr="00C60197" w:rsidRDefault="00C60197" w:rsidP="00C60197">
            <w:pPr>
              <w:spacing w:after="0" w:line="240" w:lineRule="auto"/>
              <w:jc w:val="right"/>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82,127 </w:t>
            </w:r>
          </w:p>
        </w:tc>
        <w:tc>
          <w:tcPr>
            <w:tcW w:w="960" w:type="dxa"/>
            <w:tcBorders>
              <w:top w:val="nil"/>
              <w:left w:val="nil"/>
              <w:bottom w:val="single" w:sz="4" w:space="0" w:color="auto"/>
              <w:right w:val="single" w:sz="4" w:space="0" w:color="auto"/>
            </w:tcBorders>
            <w:shd w:val="clear" w:color="000000" w:fill="FCD5B4"/>
            <w:noWrap/>
            <w:vAlign w:val="center"/>
            <w:hideMark/>
          </w:tcPr>
          <w:p w14:paraId="0E51C73C" w14:textId="77777777" w:rsidR="00C60197" w:rsidRPr="00C60197" w:rsidRDefault="00C60197" w:rsidP="00C60197">
            <w:pPr>
              <w:spacing w:after="0" w:line="240" w:lineRule="auto"/>
              <w:jc w:val="right"/>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B7DEE8"/>
            <w:noWrap/>
            <w:vAlign w:val="center"/>
            <w:hideMark/>
          </w:tcPr>
          <w:p w14:paraId="7254EFE8" w14:textId="77777777" w:rsidR="00C60197" w:rsidRPr="00C60197" w:rsidRDefault="00C60197" w:rsidP="00C60197">
            <w:pPr>
              <w:spacing w:after="0" w:line="240" w:lineRule="auto"/>
              <w:jc w:val="right"/>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0 </w:t>
            </w:r>
          </w:p>
        </w:tc>
        <w:tc>
          <w:tcPr>
            <w:tcW w:w="960" w:type="dxa"/>
            <w:tcBorders>
              <w:top w:val="nil"/>
              <w:left w:val="nil"/>
              <w:bottom w:val="single" w:sz="4" w:space="0" w:color="auto"/>
              <w:right w:val="single" w:sz="4" w:space="0" w:color="auto"/>
            </w:tcBorders>
            <w:shd w:val="clear" w:color="000000" w:fill="FCD5B4"/>
            <w:noWrap/>
            <w:vAlign w:val="center"/>
            <w:hideMark/>
          </w:tcPr>
          <w:p w14:paraId="3F849071" w14:textId="77777777" w:rsidR="00C60197" w:rsidRPr="00C60197" w:rsidRDefault="00C60197" w:rsidP="00C60197">
            <w:pPr>
              <w:spacing w:after="0" w:line="240" w:lineRule="auto"/>
              <w:jc w:val="right"/>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0 </w:t>
            </w:r>
          </w:p>
        </w:tc>
        <w:tc>
          <w:tcPr>
            <w:tcW w:w="1008" w:type="dxa"/>
            <w:tcBorders>
              <w:top w:val="nil"/>
              <w:left w:val="nil"/>
              <w:bottom w:val="single" w:sz="4" w:space="0" w:color="auto"/>
              <w:right w:val="single" w:sz="4" w:space="0" w:color="auto"/>
            </w:tcBorders>
            <w:shd w:val="clear" w:color="000000" w:fill="B7DEE8"/>
            <w:noWrap/>
            <w:vAlign w:val="center"/>
            <w:hideMark/>
          </w:tcPr>
          <w:p w14:paraId="5BA60DF3" w14:textId="77777777" w:rsidR="00C60197" w:rsidRPr="00C60197" w:rsidRDefault="00C60197" w:rsidP="00C60197">
            <w:pPr>
              <w:spacing w:after="0" w:line="240" w:lineRule="auto"/>
              <w:jc w:val="right"/>
              <w:rPr>
                <w:rFonts w:ascii="Arial" w:eastAsia="Times New Roman" w:hAnsi="Arial" w:cs="Arial"/>
                <w:b/>
                <w:bCs/>
                <w:sz w:val="16"/>
                <w:szCs w:val="16"/>
                <w:lang w:val="en-GB" w:eastAsia="en-GB"/>
              </w:rPr>
            </w:pPr>
            <w:r w:rsidRPr="00C60197">
              <w:rPr>
                <w:rFonts w:ascii="Arial" w:eastAsia="Times New Roman" w:hAnsi="Arial" w:cs="Arial"/>
                <w:b/>
                <w:bCs/>
                <w:sz w:val="16"/>
                <w:szCs w:val="16"/>
                <w:lang w:val="en-GB" w:eastAsia="en-GB"/>
              </w:rPr>
              <w:t xml:space="preserve">0 </w:t>
            </w:r>
          </w:p>
        </w:tc>
      </w:tr>
    </w:tbl>
    <w:p w14:paraId="0C26B458" w14:textId="77777777" w:rsidR="00750FBA" w:rsidRDefault="00750FBA" w:rsidP="0069470A">
      <w:pPr>
        <w:spacing w:after="0" w:line="240" w:lineRule="auto"/>
        <w:rPr>
          <w:rFonts w:ascii="Verdana" w:hAnsi="Verdana" w:cs="Arial"/>
          <w:b/>
          <w:sz w:val="24"/>
          <w:szCs w:val="24"/>
        </w:rPr>
      </w:pPr>
    </w:p>
    <w:p w14:paraId="711D7373" w14:textId="77E0F512"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5C2397D1" w14:textId="0E3EBC93" w:rsidR="00183FCB" w:rsidRDefault="001028EC" w:rsidP="00B55F24">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 xml:space="preserve">ion is reported against the </w:t>
      </w:r>
      <w:r w:rsidR="00EB08D6">
        <w:rPr>
          <w:rFonts w:ascii="Verdana" w:hAnsi="Verdana" w:cs="Arial"/>
          <w:sz w:val="24"/>
          <w:szCs w:val="24"/>
          <w:lang w:eastAsia="en-GB"/>
        </w:rPr>
        <w:t>2023/24</w:t>
      </w:r>
      <w:r w:rsidRPr="001028EC">
        <w:rPr>
          <w:rFonts w:ascii="Verdana" w:hAnsi="Verdana" w:cs="Arial"/>
          <w:sz w:val="24"/>
          <w:szCs w:val="24"/>
          <w:lang w:eastAsia="en-GB"/>
        </w:rPr>
        <w:t xml:space="preserve"> baseline</w:t>
      </w:r>
      <w:r w:rsidR="00EC5D56">
        <w:rPr>
          <w:rFonts w:ascii="Verdana" w:hAnsi="Verdana" w:cs="Arial"/>
          <w:sz w:val="24"/>
          <w:szCs w:val="24"/>
          <w:lang w:eastAsia="en-GB"/>
        </w:rPr>
        <w:t xml:space="preserve">s following approval of the </w:t>
      </w:r>
      <w:r w:rsidR="00EB08D6">
        <w:rPr>
          <w:rFonts w:ascii="Verdana" w:hAnsi="Verdana" w:cs="Arial"/>
          <w:sz w:val="24"/>
          <w:szCs w:val="24"/>
          <w:lang w:eastAsia="en-GB"/>
        </w:rPr>
        <w:t>2023/24</w:t>
      </w:r>
      <w:r w:rsidRPr="001028EC">
        <w:rPr>
          <w:rFonts w:ascii="Verdana" w:hAnsi="Verdana" w:cs="Arial"/>
          <w:sz w:val="24"/>
          <w:szCs w:val="24"/>
          <w:lang w:eastAsia="en-GB"/>
        </w:rPr>
        <w:t xml:space="preserve"> I</w:t>
      </w:r>
      <w:r w:rsidR="006213B0">
        <w:rPr>
          <w:rFonts w:ascii="Verdana" w:hAnsi="Verdana" w:cs="Arial"/>
          <w:sz w:val="24"/>
          <w:szCs w:val="24"/>
          <w:lang w:eastAsia="en-GB"/>
        </w:rPr>
        <w:t>ntegrated Medium Term Plan (I</w:t>
      </w:r>
      <w:r w:rsidRPr="001028EC">
        <w:rPr>
          <w:rFonts w:ascii="Verdana" w:hAnsi="Verdana" w:cs="Arial"/>
          <w:sz w:val="24"/>
          <w:szCs w:val="24"/>
          <w:lang w:eastAsia="en-GB"/>
        </w:rPr>
        <w:t>MTP</w:t>
      </w:r>
      <w:r w:rsidR="006213B0">
        <w:rPr>
          <w:rFonts w:ascii="Verdana" w:hAnsi="Verdana" w:cs="Arial"/>
          <w:sz w:val="24"/>
          <w:szCs w:val="24"/>
          <w:lang w:eastAsia="en-GB"/>
        </w:rPr>
        <w:t>)</w:t>
      </w:r>
      <w:r w:rsidRPr="001028EC">
        <w:rPr>
          <w:rFonts w:ascii="Verdana" w:hAnsi="Verdana" w:cs="Arial"/>
          <w:sz w:val="24"/>
          <w:szCs w:val="24"/>
          <w:lang w:eastAsia="en-GB"/>
        </w:rPr>
        <w:t xml:space="preserve">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EB08D6">
        <w:rPr>
          <w:rFonts w:ascii="Verdana" w:hAnsi="Verdana" w:cs="Arial"/>
          <w:sz w:val="24"/>
          <w:szCs w:val="24"/>
          <w:lang w:eastAsia="en-GB"/>
        </w:rPr>
        <w:t>3</w:t>
      </w:r>
      <w:r w:rsidRPr="001028EC">
        <w:rPr>
          <w:rFonts w:ascii="Verdana" w:hAnsi="Verdana" w:cs="Arial"/>
          <w:sz w:val="24"/>
          <w:szCs w:val="24"/>
          <w:lang w:eastAsia="en-GB"/>
        </w:rPr>
        <w:t xml:space="preserve">. </w:t>
      </w:r>
    </w:p>
    <w:p w14:paraId="4AF13BAF" w14:textId="77777777" w:rsidR="00183FCB" w:rsidRDefault="00183FCB" w:rsidP="00183FCB">
      <w:pPr>
        <w:pStyle w:val="ListParagraph"/>
        <w:spacing w:after="0" w:line="240" w:lineRule="auto"/>
        <w:jc w:val="both"/>
        <w:rPr>
          <w:rFonts w:ascii="Verdana" w:hAnsi="Verdana" w:cs="Arial"/>
          <w:sz w:val="24"/>
          <w:szCs w:val="24"/>
          <w:lang w:eastAsia="en-GB"/>
        </w:rPr>
      </w:pPr>
    </w:p>
    <w:p w14:paraId="4D49851B" w14:textId="75831BD3" w:rsidR="001028EC" w:rsidRDefault="001500B9" w:rsidP="00B55F24">
      <w:pPr>
        <w:pStyle w:val="ListParagraph"/>
        <w:numPr>
          <w:ilvl w:val="1"/>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 xml:space="preserve">The </w:t>
      </w:r>
      <w:r w:rsidR="006213B0">
        <w:rPr>
          <w:rFonts w:ascii="Verdana" w:hAnsi="Verdana" w:cs="Arial"/>
          <w:sz w:val="24"/>
          <w:szCs w:val="24"/>
          <w:lang w:eastAsia="en-GB"/>
        </w:rPr>
        <w:t>National Collaborative Commissioning Unit (N</w:t>
      </w:r>
      <w:r>
        <w:rPr>
          <w:rFonts w:ascii="Verdana" w:hAnsi="Verdana" w:cs="Arial"/>
          <w:sz w:val="24"/>
          <w:szCs w:val="24"/>
          <w:lang w:eastAsia="en-GB"/>
        </w:rPr>
        <w:t>CCU</w:t>
      </w:r>
      <w:r w:rsidR="006213B0">
        <w:rPr>
          <w:rFonts w:ascii="Verdana" w:hAnsi="Verdana" w:cs="Arial"/>
          <w:sz w:val="24"/>
          <w:szCs w:val="24"/>
          <w:lang w:eastAsia="en-GB"/>
        </w:rPr>
        <w:t>)</w:t>
      </w:r>
      <w:r>
        <w:rPr>
          <w:rFonts w:ascii="Verdana" w:hAnsi="Verdana" w:cs="Arial"/>
          <w:sz w:val="24"/>
          <w:szCs w:val="24"/>
          <w:lang w:eastAsia="en-GB"/>
        </w:rPr>
        <w:t xml:space="preserve"> baseline has been dis-aggregated from this report as it has a separate governance structure to EASC.</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2A3C352A"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w:t>
      </w:r>
      <w:r w:rsidR="006213B0">
        <w:rPr>
          <w:rFonts w:ascii="Verdana" w:hAnsi="Verdana" w:cs="Arial"/>
          <w:sz w:val="24"/>
          <w:szCs w:val="24"/>
          <w:lang w:eastAsia="en-GB"/>
        </w:rPr>
        <w:t xml:space="preserve">elsh </w:t>
      </w:r>
      <w:r w:rsidRPr="001028EC">
        <w:rPr>
          <w:rFonts w:ascii="Verdana" w:hAnsi="Verdana" w:cs="Arial"/>
          <w:sz w:val="24"/>
          <w:szCs w:val="24"/>
          <w:lang w:eastAsia="en-GB"/>
        </w:rPr>
        <w:t>G</w:t>
      </w:r>
      <w:r w:rsidR="006213B0">
        <w:rPr>
          <w:rFonts w:ascii="Verdana" w:hAnsi="Verdana" w:cs="Arial"/>
          <w:sz w:val="24"/>
          <w:szCs w:val="24"/>
          <w:lang w:eastAsia="en-GB"/>
        </w:rPr>
        <w:t>overnment (WG)</w:t>
      </w:r>
      <w:r w:rsidRPr="001028EC">
        <w:rPr>
          <w:rFonts w:ascii="Verdana" w:hAnsi="Verdana" w:cs="Arial"/>
          <w:sz w:val="24"/>
          <w:szCs w:val="24"/>
          <w:lang w:eastAsia="en-GB"/>
        </w:rPr>
        <w:t xml:space="preserve"> is a nil variance.</w:t>
      </w:r>
    </w:p>
    <w:p w14:paraId="15D51DA9" w14:textId="77777777" w:rsidR="000F26AC" w:rsidRPr="006213B0" w:rsidRDefault="000F26AC" w:rsidP="006213B0">
      <w:pPr>
        <w:pStyle w:val="ListParagraph"/>
        <w:rPr>
          <w:rFonts w:ascii="Verdana" w:hAnsi="Verdana" w:cs="Arial"/>
          <w:sz w:val="24"/>
          <w:szCs w:val="24"/>
          <w:lang w:eastAsia="en-GB"/>
        </w:rPr>
      </w:pPr>
    </w:p>
    <w:p w14:paraId="703E8132" w14:textId="2BE16BEE"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w:t>
      </w:r>
      <w:r w:rsidR="001500B9">
        <w:rPr>
          <w:rFonts w:ascii="Verdana" w:hAnsi="Verdana" w:cs="Arial"/>
          <w:sz w:val="24"/>
          <w:szCs w:val="24"/>
          <w:lang w:eastAsia="en-GB"/>
        </w:rPr>
        <w:t xml:space="preserve">current </w:t>
      </w:r>
      <w:r w:rsidRPr="000F26AC">
        <w:rPr>
          <w:rFonts w:ascii="Verdana" w:hAnsi="Verdana" w:cs="Arial"/>
          <w:sz w:val="24"/>
          <w:szCs w:val="24"/>
          <w:lang w:eastAsia="en-GB"/>
        </w:rPr>
        <w:t>financial position</w:t>
      </w:r>
      <w:r w:rsidR="001500B9">
        <w:rPr>
          <w:rFonts w:ascii="Verdana" w:hAnsi="Verdana" w:cs="Arial"/>
          <w:sz w:val="24"/>
          <w:szCs w:val="24"/>
          <w:lang w:eastAsia="en-GB"/>
        </w:rPr>
        <w:t xml:space="preserve"> m</w:t>
      </w:r>
      <w:r w:rsidRPr="000F26AC">
        <w:rPr>
          <w:rFonts w:ascii="Verdana" w:hAnsi="Verdana" w:cs="Arial"/>
          <w:sz w:val="24"/>
          <w:szCs w:val="24"/>
          <w:lang w:eastAsia="en-GB"/>
        </w:rPr>
        <w:t xml:space="preserve">embers agreed: </w:t>
      </w:r>
    </w:p>
    <w:p w14:paraId="02E9C6BC" w14:textId="12636273" w:rsidR="00806C55" w:rsidRPr="00DE41C2" w:rsidRDefault="00806C55" w:rsidP="00DE41C2">
      <w:pPr>
        <w:spacing w:after="0" w:line="240" w:lineRule="auto"/>
        <w:jc w:val="both"/>
        <w:rPr>
          <w:rFonts w:ascii="Verdana" w:hAnsi="Verdana" w:cs="Arial"/>
          <w:sz w:val="24"/>
          <w:szCs w:val="24"/>
          <w:lang w:eastAsia="en-GB"/>
        </w:rPr>
      </w:pPr>
    </w:p>
    <w:p w14:paraId="7803D730" w14:textId="413457A2" w:rsidR="00806C55" w:rsidRDefault="004508F5" w:rsidP="00F20149">
      <w:pPr>
        <w:pStyle w:val="ListParagraph"/>
        <w:numPr>
          <w:ilvl w:val="3"/>
          <w:numId w:val="1"/>
        </w:numPr>
        <w:spacing w:after="0" w:line="240" w:lineRule="auto"/>
        <w:jc w:val="both"/>
        <w:rPr>
          <w:rFonts w:ascii="Verdana" w:hAnsi="Verdana" w:cs="Arial"/>
          <w:sz w:val="24"/>
          <w:szCs w:val="24"/>
          <w:lang w:eastAsia="en-GB"/>
        </w:rPr>
      </w:pPr>
      <w:r w:rsidRPr="00CB484F">
        <w:rPr>
          <w:rFonts w:ascii="Verdana" w:hAnsi="Verdana" w:cs="Arial"/>
          <w:sz w:val="24"/>
          <w:szCs w:val="24"/>
          <w:lang w:eastAsia="en-GB"/>
        </w:rPr>
        <w:t>Al</w:t>
      </w:r>
      <w:r w:rsidR="0004277A" w:rsidRPr="00CB484F">
        <w:rPr>
          <w:rFonts w:ascii="Verdana" w:hAnsi="Verdana" w:cs="Arial"/>
          <w:sz w:val="24"/>
          <w:szCs w:val="24"/>
          <w:lang w:eastAsia="en-GB"/>
        </w:rPr>
        <w:t>l members of the Committee have supported the EASC IMTP</w:t>
      </w:r>
      <w:r w:rsidR="00CB484F" w:rsidRPr="00CB484F">
        <w:rPr>
          <w:rFonts w:ascii="Verdana" w:hAnsi="Verdana" w:cs="Arial"/>
          <w:sz w:val="24"/>
          <w:szCs w:val="24"/>
          <w:lang w:eastAsia="en-GB"/>
        </w:rPr>
        <w:t>.</w:t>
      </w:r>
      <w:r w:rsidR="00CE60B2" w:rsidRPr="00CB484F">
        <w:rPr>
          <w:rFonts w:ascii="Verdana" w:hAnsi="Verdana" w:cs="Arial"/>
          <w:sz w:val="24"/>
          <w:szCs w:val="24"/>
          <w:lang w:eastAsia="en-GB"/>
        </w:rPr>
        <w:t xml:space="preserve"> </w:t>
      </w:r>
    </w:p>
    <w:p w14:paraId="2FA3E562" w14:textId="502D2587" w:rsidR="003E5725" w:rsidRPr="006E2B09" w:rsidRDefault="003E5725" w:rsidP="006E2B09">
      <w:pPr>
        <w:spacing w:after="0" w:line="240" w:lineRule="auto"/>
        <w:jc w:val="both"/>
        <w:rPr>
          <w:rFonts w:ascii="Verdana" w:hAnsi="Verdana" w:cs="Arial"/>
          <w:sz w:val="24"/>
          <w:szCs w:val="24"/>
          <w:lang w:eastAsia="en-GB"/>
        </w:rPr>
      </w:pPr>
    </w:p>
    <w:p w14:paraId="094CD803" w14:textId="77777777" w:rsidR="006213B0" w:rsidRDefault="00E65B21" w:rsidP="00CB484F">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 xml:space="preserve">EASC has been in discussion with </w:t>
      </w:r>
      <w:r w:rsidR="005E1C50">
        <w:rPr>
          <w:rFonts w:ascii="Verdana" w:hAnsi="Verdana" w:cs="Arial"/>
          <w:sz w:val="24"/>
          <w:szCs w:val="24"/>
          <w:lang w:eastAsia="en-GB"/>
        </w:rPr>
        <w:t xml:space="preserve">WG </w:t>
      </w:r>
      <w:r>
        <w:rPr>
          <w:rFonts w:ascii="Verdana" w:hAnsi="Verdana" w:cs="Arial"/>
          <w:sz w:val="24"/>
          <w:szCs w:val="24"/>
          <w:lang w:eastAsia="en-GB"/>
        </w:rPr>
        <w:t>regarding</w:t>
      </w:r>
      <w:r w:rsidR="005E1C50">
        <w:rPr>
          <w:rFonts w:ascii="Verdana" w:hAnsi="Verdana" w:cs="Arial"/>
          <w:sz w:val="24"/>
          <w:szCs w:val="24"/>
          <w:lang w:eastAsia="en-GB"/>
        </w:rPr>
        <w:t xml:space="preserve"> support</w:t>
      </w:r>
      <w:r>
        <w:rPr>
          <w:rFonts w:ascii="Verdana" w:hAnsi="Verdana" w:cs="Arial"/>
          <w:sz w:val="24"/>
          <w:szCs w:val="24"/>
          <w:lang w:eastAsia="en-GB"/>
        </w:rPr>
        <w:t>ing</w:t>
      </w:r>
      <w:r w:rsidR="005E1C50">
        <w:rPr>
          <w:rFonts w:ascii="Verdana" w:hAnsi="Verdana" w:cs="Arial"/>
          <w:sz w:val="24"/>
          <w:szCs w:val="24"/>
          <w:lang w:eastAsia="en-GB"/>
        </w:rPr>
        <w:t xml:space="preserve"> the tapered funding plan for the WAST 100WTE in 2023/24</w:t>
      </w:r>
      <w:r>
        <w:rPr>
          <w:rFonts w:ascii="Verdana" w:hAnsi="Verdana" w:cs="Arial"/>
          <w:sz w:val="24"/>
          <w:szCs w:val="24"/>
          <w:lang w:eastAsia="en-GB"/>
        </w:rPr>
        <w:t>.</w:t>
      </w:r>
      <w:r w:rsidR="005E1C50">
        <w:rPr>
          <w:rFonts w:ascii="Verdana" w:hAnsi="Verdana" w:cs="Arial"/>
          <w:sz w:val="24"/>
          <w:szCs w:val="24"/>
          <w:lang w:eastAsia="en-GB"/>
        </w:rPr>
        <w:t xml:space="preserve"> </w:t>
      </w:r>
      <w:r>
        <w:rPr>
          <w:rFonts w:ascii="Verdana" w:hAnsi="Verdana" w:cs="Arial"/>
          <w:sz w:val="24"/>
          <w:szCs w:val="24"/>
          <w:lang w:eastAsia="en-GB"/>
        </w:rPr>
        <w:t xml:space="preserve">WG have asked for any residual funding gap to be identified </w:t>
      </w:r>
      <w:r w:rsidR="005E1C50">
        <w:rPr>
          <w:rFonts w:ascii="Verdana" w:hAnsi="Verdana" w:cs="Arial"/>
          <w:sz w:val="24"/>
          <w:szCs w:val="24"/>
          <w:lang w:eastAsia="en-GB"/>
        </w:rPr>
        <w:t>working collabo</w:t>
      </w:r>
      <w:r w:rsidR="001C7A2E">
        <w:rPr>
          <w:rFonts w:ascii="Verdana" w:hAnsi="Verdana" w:cs="Arial"/>
          <w:sz w:val="24"/>
          <w:szCs w:val="24"/>
          <w:lang w:eastAsia="en-GB"/>
        </w:rPr>
        <w:t>ratively with WAST and the Six G</w:t>
      </w:r>
      <w:r>
        <w:rPr>
          <w:rFonts w:ascii="Verdana" w:hAnsi="Verdana" w:cs="Arial"/>
          <w:sz w:val="24"/>
          <w:szCs w:val="24"/>
          <w:lang w:eastAsia="en-GB"/>
        </w:rPr>
        <w:t xml:space="preserve">oals for </w:t>
      </w:r>
      <w:r w:rsidR="006213B0">
        <w:rPr>
          <w:rFonts w:ascii="Verdana" w:hAnsi="Verdana" w:cs="Arial"/>
          <w:sz w:val="24"/>
          <w:szCs w:val="24"/>
          <w:lang w:eastAsia="en-GB"/>
        </w:rPr>
        <w:t>Urgent and Emergency</w:t>
      </w:r>
      <w:r>
        <w:rPr>
          <w:rFonts w:ascii="Verdana" w:hAnsi="Verdana" w:cs="Arial"/>
          <w:sz w:val="24"/>
          <w:szCs w:val="24"/>
          <w:lang w:eastAsia="en-GB"/>
        </w:rPr>
        <w:t xml:space="preserve"> C</w:t>
      </w:r>
      <w:r w:rsidR="005E1C50">
        <w:rPr>
          <w:rFonts w:ascii="Verdana" w:hAnsi="Verdana" w:cs="Arial"/>
          <w:sz w:val="24"/>
          <w:szCs w:val="24"/>
          <w:lang w:eastAsia="en-GB"/>
        </w:rPr>
        <w:t xml:space="preserve">are </w:t>
      </w:r>
      <w:r w:rsidR="006213B0">
        <w:rPr>
          <w:rFonts w:ascii="Verdana" w:hAnsi="Verdana" w:cs="Arial"/>
          <w:sz w:val="24"/>
          <w:szCs w:val="24"/>
          <w:lang w:eastAsia="en-GB"/>
        </w:rPr>
        <w:lastRenderedPageBreak/>
        <w:t>P</w:t>
      </w:r>
      <w:r w:rsidR="005E1C50">
        <w:rPr>
          <w:rFonts w:ascii="Verdana" w:hAnsi="Verdana" w:cs="Arial"/>
          <w:sz w:val="24"/>
          <w:szCs w:val="24"/>
          <w:lang w:eastAsia="en-GB"/>
        </w:rPr>
        <w:t>rogramme</w:t>
      </w:r>
      <w:r>
        <w:rPr>
          <w:rFonts w:ascii="Verdana" w:hAnsi="Verdana" w:cs="Arial"/>
          <w:sz w:val="24"/>
          <w:szCs w:val="24"/>
          <w:lang w:eastAsia="en-GB"/>
        </w:rPr>
        <w:t xml:space="preserve">. </w:t>
      </w:r>
    </w:p>
    <w:p w14:paraId="6407B139" w14:textId="77777777" w:rsidR="006213B0" w:rsidRPr="006213B0" w:rsidRDefault="006213B0" w:rsidP="006213B0">
      <w:pPr>
        <w:pStyle w:val="ListParagraph"/>
        <w:rPr>
          <w:rFonts w:ascii="Verdana" w:hAnsi="Verdana" w:cs="Arial"/>
          <w:sz w:val="24"/>
          <w:szCs w:val="24"/>
          <w:lang w:eastAsia="en-GB"/>
        </w:rPr>
      </w:pPr>
    </w:p>
    <w:p w14:paraId="0B723759" w14:textId="431B4C59" w:rsidR="00183FCB" w:rsidRDefault="00E65B21" w:rsidP="006213B0">
      <w:pPr>
        <w:pStyle w:val="ListParagraph"/>
        <w:spacing w:after="0" w:line="240" w:lineRule="auto"/>
        <w:jc w:val="both"/>
        <w:rPr>
          <w:rFonts w:ascii="Verdana" w:hAnsi="Verdana" w:cs="Arial"/>
          <w:sz w:val="24"/>
          <w:szCs w:val="24"/>
          <w:lang w:eastAsia="en-GB"/>
        </w:rPr>
      </w:pPr>
      <w:r>
        <w:rPr>
          <w:rFonts w:ascii="Verdana" w:hAnsi="Verdana" w:cs="Arial"/>
          <w:sz w:val="24"/>
          <w:szCs w:val="24"/>
          <w:lang w:eastAsia="en-GB"/>
        </w:rPr>
        <w:t xml:space="preserve">Any remaining funding gap will be considered in the context of health boards performance in achieving the ministerial targets of eradicating &gt;4 hour handover delays. </w:t>
      </w:r>
      <w:r w:rsidRPr="006213B0">
        <w:rPr>
          <w:rFonts w:ascii="Verdana" w:hAnsi="Verdana" w:cs="Arial"/>
          <w:b/>
          <w:bCs/>
          <w:sz w:val="24"/>
          <w:szCs w:val="24"/>
          <w:lang w:eastAsia="en-GB"/>
        </w:rPr>
        <w:t>The WG assumption is health boards who fail to improve handover performance will be jointly liable for the funding gap to ensure a safe emergency ambulance service</w:t>
      </w:r>
      <w:r>
        <w:rPr>
          <w:rFonts w:ascii="Verdana" w:hAnsi="Verdana" w:cs="Arial"/>
          <w:sz w:val="24"/>
          <w:szCs w:val="24"/>
          <w:lang w:eastAsia="en-GB"/>
        </w:rPr>
        <w:t>.</w:t>
      </w:r>
    </w:p>
    <w:p w14:paraId="6ED9C99E" w14:textId="77777777" w:rsidR="00CB484F" w:rsidRPr="00CB484F" w:rsidRDefault="00CB484F" w:rsidP="00CB484F">
      <w:pPr>
        <w:spacing w:after="0" w:line="240" w:lineRule="auto"/>
        <w:jc w:val="both"/>
        <w:rPr>
          <w:rFonts w:ascii="Verdana" w:hAnsi="Verdana" w:cs="Arial"/>
          <w:sz w:val="24"/>
          <w:szCs w:val="24"/>
          <w:lang w:eastAsia="en-GB"/>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5E59F9" w:rsidRDefault="008B23BA" w:rsidP="008B23BA">
      <w:pPr>
        <w:pStyle w:val="ListParagraph"/>
        <w:spacing w:after="0" w:line="240" w:lineRule="auto"/>
        <w:ind w:left="709"/>
        <w:jc w:val="both"/>
        <w:rPr>
          <w:rFonts w:ascii="Verdana" w:hAnsi="Verdana" w:cs="Arial"/>
          <w:b/>
          <w:sz w:val="16"/>
          <w:szCs w:val="16"/>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75CBC218" w14:textId="05D687AB" w:rsidR="002F5BA1" w:rsidRDefault="006C4A3E" w:rsidP="006C4A3E">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w:t>
      </w:r>
      <w:r w:rsidR="00EC5D56" w:rsidRPr="00722A5A">
        <w:rPr>
          <w:rFonts w:ascii="Verdana" w:hAnsi="Verdana" w:cs="Arial"/>
          <w:sz w:val="24"/>
          <w:szCs w:val="24"/>
        </w:rPr>
        <w:t xml:space="preserve">been updated to reflect the </w:t>
      </w:r>
      <w:r w:rsidR="000C05DE">
        <w:rPr>
          <w:rFonts w:ascii="Verdana" w:hAnsi="Verdana" w:cs="Arial"/>
          <w:sz w:val="24"/>
          <w:szCs w:val="24"/>
        </w:rPr>
        <w:t>2023/24</w:t>
      </w:r>
      <w:r w:rsidRPr="00722A5A">
        <w:rPr>
          <w:rFonts w:ascii="Verdana" w:hAnsi="Verdana" w:cs="Arial"/>
          <w:sz w:val="24"/>
          <w:szCs w:val="24"/>
        </w:rPr>
        <w:t xml:space="preserve"> approved IMTP. The IMTP se</w:t>
      </w:r>
      <w:r w:rsidR="00EC5D56" w:rsidRPr="00722A5A">
        <w:rPr>
          <w:rFonts w:ascii="Verdana" w:hAnsi="Verdana" w:cs="Arial"/>
          <w:sz w:val="24"/>
          <w:szCs w:val="24"/>
        </w:rPr>
        <w:t xml:space="preserve">ts the baseline for all the </w:t>
      </w:r>
      <w:r w:rsidR="000C05DE">
        <w:rPr>
          <w:rFonts w:ascii="Verdana" w:hAnsi="Verdana" w:cs="Arial"/>
          <w:sz w:val="24"/>
          <w:szCs w:val="24"/>
        </w:rPr>
        <w:t>2023/24</w:t>
      </w:r>
      <w:r w:rsidRPr="00722A5A">
        <w:rPr>
          <w:rFonts w:ascii="Verdana" w:hAnsi="Verdana" w:cs="Arial"/>
          <w:sz w:val="24"/>
          <w:szCs w:val="24"/>
        </w:rPr>
        <w:t xml:space="preserve"> contract values. </w:t>
      </w:r>
    </w:p>
    <w:p w14:paraId="6E6C5C7C" w14:textId="3CAEDA7B" w:rsidR="00806C55" w:rsidRPr="00806C55" w:rsidRDefault="00806C55" w:rsidP="00806C55">
      <w:pPr>
        <w:spacing w:after="0" w:line="240" w:lineRule="auto"/>
        <w:jc w:val="both"/>
        <w:rPr>
          <w:rFonts w:ascii="Verdana" w:hAnsi="Verdana" w:cs="Arial"/>
          <w:sz w:val="24"/>
          <w:szCs w:val="24"/>
          <w:u w:val="single"/>
        </w:rPr>
      </w:pPr>
    </w:p>
    <w:p w14:paraId="2664C5B9" w14:textId="64F5F5F3"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0E377EE" w14:textId="0E626CFE"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The </w:t>
      </w:r>
      <w:r w:rsidR="000C05DE">
        <w:rPr>
          <w:rFonts w:ascii="Verdana" w:hAnsi="Verdana" w:cs="Arial"/>
          <w:sz w:val="24"/>
          <w:szCs w:val="24"/>
        </w:rPr>
        <w:t>current</w:t>
      </w:r>
      <w:r w:rsidRPr="006C4A3E">
        <w:rPr>
          <w:rFonts w:ascii="Verdana" w:hAnsi="Verdana" w:cs="Arial"/>
          <w:sz w:val="24"/>
          <w:szCs w:val="24"/>
        </w:rPr>
        <w:t xml:space="preserve"> financial position of WAST is</w:t>
      </w:r>
      <w:r w:rsidR="000C05DE">
        <w:rPr>
          <w:rFonts w:ascii="Verdana" w:hAnsi="Verdana" w:cs="Arial"/>
          <w:sz w:val="24"/>
          <w:szCs w:val="24"/>
        </w:rPr>
        <w:t xml:space="preserve"> reported at breakeven</w:t>
      </w:r>
      <w:r w:rsidR="00014565">
        <w:rPr>
          <w:rFonts w:ascii="Verdana" w:hAnsi="Verdana" w:cs="Arial"/>
          <w:sz w:val="24"/>
          <w:szCs w:val="24"/>
        </w:rPr>
        <w:t xml:space="preserve">. </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7DF3B613"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The WAST </w:t>
      </w:r>
      <w:r w:rsidR="00FB37F0">
        <w:rPr>
          <w:rFonts w:ascii="Verdana" w:hAnsi="Verdana" w:cs="Arial"/>
          <w:sz w:val="24"/>
          <w:szCs w:val="24"/>
        </w:rPr>
        <w:t xml:space="preserve">provider baseline assumptions are agreed with EASC and aligned to the IMTP as at the end of June 2023, in line with the WG deadline for confirmed </w:t>
      </w:r>
      <w:r w:rsidR="006213B0">
        <w:rPr>
          <w:rFonts w:ascii="Verdana" w:hAnsi="Verdana" w:cs="Arial"/>
          <w:sz w:val="24"/>
          <w:szCs w:val="24"/>
        </w:rPr>
        <w:t>Service Level Agreements (</w:t>
      </w:r>
      <w:r w:rsidR="00FB37F0">
        <w:rPr>
          <w:rFonts w:ascii="Verdana" w:hAnsi="Verdana" w:cs="Arial"/>
          <w:sz w:val="24"/>
          <w:szCs w:val="24"/>
        </w:rPr>
        <w:t>SLA</w:t>
      </w:r>
      <w:r w:rsidR="006213B0">
        <w:rPr>
          <w:rFonts w:ascii="Verdana" w:hAnsi="Verdana" w:cs="Arial"/>
          <w:sz w:val="24"/>
          <w:szCs w:val="24"/>
        </w:rPr>
        <w:t>)</w:t>
      </w:r>
      <w:r w:rsidR="00FB37F0">
        <w:rPr>
          <w:rFonts w:ascii="Verdana" w:hAnsi="Verdana" w:cs="Arial"/>
          <w:sz w:val="24"/>
          <w:szCs w:val="24"/>
        </w:rPr>
        <w:t xml:space="preserve">. </w:t>
      </w:r>
    </w:p>
    <w:p w14:paraId="08A9B037" w14:textId="77777777" w:rsidR="008A226A" w:rsidRDefault="008A226A" w:rsidP="00D95498">
      <w:pPr>
        <w:spacing w:after="0" w:line="240" w:lineRule="auto"/>
        <w:ind w:left="720"/>
        <w:rPr>
          <w:rFonts w:ascii="Verdana" w:hAnsi="Verdana" w:cs="Arial"/>
          <w:sz w:val="24"/>
          <w:szCs w:val="24"/>
        </w:rPr>
      </w:pPr>
    </w:p>
    <w:p w14:paraId="10320E88" w14:textId="3E89453F" w:rsidR="008A226A" w:rsidRDefault="008A226A" w:rsidP="0001456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0C05DE">
        <w:rPr>
          <w:rFonts w:ascii="Verdana" w:hAnsi="Verdana" w:cs="Arial"/>
          <w:sz w:val="24"/>
          <w:szCs w:val="24"/>
        </w:rPr>
        <w:t xml:space="preserve">budget reported </w:t>
      </w:r>
      <w:r w:rsidR="004D68E1">
        <w:rPr>
          <w:rFonts w:ascii="Verdana" w:hAnsi="Verdana" w:cs="Arial"/>
          <w:sz w:val="24"/>
          <w:szCs w:val="24"/>
        </w:rPr>
        <w:t>includes</w:t>
      </w:r>
      <w:r>
        <w:rPr>
          <w:rFonts w:ascii="Verdana" w:hAnsi="Verdana" w:cs="Arial"/>
          <w:sz w:val="24"/>
          <w:szCs w:val="24"/>
        </w:rPr>
        <w:t xml:space="preserve"> frontline support of £1,800k </w:t>
      </w:r>
      <w:r w:rsidR="00FB37F0">
        <w:rPr>
          <w:rFonts w:ascii="Verdana" w:hAnsi="Verdana" w:cs="Arial"/>
          <w:sz w:val="24"/>
          <w:szCs w:val="24"/>
        </w:rPr>
        <w:t>w</w:t>
      </w:r>
      <w:r w:rsidR="004D68E1">
        <w:rPr>
          <w:rFonts w:ascii="Verdana" w:hAnsi="Verdana" w:cs="Arial"/>
          <w:sz w:val="24"/>
          <w:szCs w:val="24"/>
        </w:rPr>
        <w:t xml:space="preserve">hich is </w:t>
      </w:r>
      <w:r>
        <w:rPr>
          <w:rFonts w:ascii="Verdana" w:hAnsi="Verdana" w:cs="Arial"/>
          <w:sz w:val="24"/>
          <w:szCs w:val="24"/>
        </w:rPr>
        <w:t xml:space="preserve">has </w:t>
      </w:r>
      <w:r w:rsidR="00014565">
        <w:rPr>
          <w:rFonts w:ascii="Verdana" w:hAnsi="Verdana" w:cs="Arial"/>
          <w:sz w:val="24"/>
          <w:szCs w:val="24"/>
        </w:rPr>
        <w:t xml:space="preserve">been </w:t>
      </w:r>
      <w:r w:rsidR="000C05DE">
        <w:rPr>
          <w:rFonts w:ascii="Verdana" w:hAnsi="Verdana" w:cs="Arial"/>
          <w:sz w:val="24"/>
          <w:szCs w:val="24"/>
        </w:rPr>
        <w:t xml:space="preserve">made recurrent </w:t>
      </w:r>
      <w:r w:rsidR="004D68E1">
        <w:rPr>
          <w:rFonts w:ascii="Verdana" w:hAnsi="Verdana" w:cs="Arial"/>
          <w:sz w:val="24"/>
          <w:szCs w:val="24"/>
        </w:rPr>
        <w:t xml:space="preserve">in the IMTP </w:t>
      </w:r>
      <w:r w:rsidR="000C05DE">
        <w:rPr>
          <w:rFonts w:ascii="Verdana" w:hAnsi="Verdana" w:cs="Arial"/>
          <w:sz w:val="24"/>
          <w:szCs w:val="24"/>
        </w:rPr>
        <w:t xml:space="preserve">and </w:t>
      </w:r>
      <w:r w:rsidR="00014565">
        <w:rPr>
          <w:rFonts w:ascii="Verdana" w:hAnsi="Verdana" w:cs="Arial"/>
          <w:sz w:val="24"/>
          <w:szCs w:val="24"/>
        </w:rPr>
        <w:t>contributed to by all Health Boards</w:t>
      </w:r>
    </w:p>
    <w:p w14:paraId="07741746" w14:textId="77777777" w:rsidR="008A226A" w:rsidRDefault="008A226A" w:rsidP="00D95498">
      <w:pPr>
        <w:spacing w:after="0" w:line="240" w:lineRule="auto"/>
        <w:ind w:left="720"/>
        <w:rPr>
          <w:rFonts w:ascii="Verdana" w:hAnsi="Verdana" w:cs="Arial"/>
          <w:sz w:val="24"/>
          <w:szCs w:val="24"/>
        </w:rPr>
      </w:pPr>
    </w:p>
    <w:p w14:paraId="1AE3BE95" w14:textId="314F7697" w:rsidR="00C61733" w:rsidRPr="00E62C72" w:rsidRDefault="00C61733" w:rsidP="008A226A">
      <w:pPr>
        <w:pStyle w:val="ListParagraph"/>
        <w:numPr>
          <w:ilvl w:val="1"/>
          <w:numId w:val="22"/>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w:t>
      </w:r>
      <w:r w:rsidR="00DE41C2">
        <w:rPr>
          <w:rFonts w:ascii="Verdana" w:hAnsi="Verdana" w:cs="Arial"/>
          <w:sz w:val="24"/>
          <w:szCs w:val="24"/>
        </w:rPr>
        <w:t>NEPTS</w:t>
      </w:r>
      <w:r w:rsidRPr="00C61733">
        <w:rPr>
          <w:rFonts w:ascii="Verdana" w:hAnsi="Verdana" w:cs="Arial"/>
          <w:sz w:val="24"/>
          <w:szCs w:val="24"/>
        </w:rPr>
        <w:t xml:space="preserve"> has been separated from </w:t>
      </w:r>
      <w:r w:rsidR="005E59F9">
        <w:rPr>
          <w:rFonts w:ascii="Verdana" w:hAnsi="Verdana" w:cs="Arial"/>
          <w:sz w:val="24"/>
          <w:szCs w:val="24"/>
        </w:rPr>
        <w:t>the Welsh Ambulance Services NHS Trust (</w:t>
      </w:r>
      <w:r w:rsidRPr="00C61733">
        <w:rPr>
          <w:rFonts w:ascii="Verdana" w:hAnsi="Verdana" w:cs="Arial"/>
          <w:sz w:val="24"/>
          <w:szCs w:val="24"/>
        </w:rPr>
        <w:t>WAST</w:t>
      </w:r>
      <w:r w:rsidR="005E59F9">
        <w:rPr>
          <w:rFonts w:ascii="Verdana" w:hAnsi="Verdana" w:cs="Arial"/>
          <w:sz w:val="24"/>
          <w:szCs w:val="24"/>
        </w:rPr>
        <w:t>)</w:t>
      </w:r>
      <w:r w:rsidRPr="00C61733">
        <w:rPr>
          <w:rFonts w:ascii="Verdana" w:hAnsi="Verdana" w:cs="Arial"/>
          <w:sz w:val="24"/>
          <w:szCs w:val="24"/>
        </w:rPr>
        <w:t xml:space="preserve"> and will be reported separately. Air Ambulance (E</w:t>
      </w:r>
      <w:r w:rsidR="005E59F9">
        <w:rPr>
          <w:rFonts w:ascii="Verdana" w:hAnsi="Verdana" w:cs="Arial"/>
          <w:sz w:val="24"/>
          <w:szCs w:val="24"/>
        </w:rPr>
        <w:t>mergency Medical Retrieval and Transfer Service - E</w:t>
      </w:r>
      <w:r w:rsidRPr="00C61733">
        <w:rPr>
          <w:rFonts w:ascii="Verdana" w:hAnsi="Verdana" w:cs="Arial"/>
          <w:sz w:val="24"/>
          <w:szCs w:val="24"/>
        </w:rPr>
        <w:t xml:space="preserve">MRTS) has been transferred from WAST and now sits within EMRTS and will be paid directly to Swansea Bay UHB. </w:t>
      </w:r>
    </w:p>
    <w:p w14:paraId="1D400C24" w14:textId="77777777" w:rsidR="00DE41C2" w:rsidRDefault="00DE41C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5D97815D" w14:textId="348BC9B2" w:rsidR="00FB37F0" w:rsidRDefault="000C05DE" w:rsidP="00FB37F0">
      <w:pPr>
        <w:pStyle w:val="ListParagraph"/>
        <w:numPr>
          <w:ilvl w:val="1"/>
          <w:numId w:val="1"/>
        </w:numPr>
        <w:spacing w:after="0" w:line="240" w:lineRule="auto"/>
        <w:jc w:val="both"/>
        <w:rPr>
          <w:rFonts w:ascii="Verdana" w:hAnsi="Verdana" w:cs="Arial"/>
          <w:sz w:val="24"/>
          <w:szCs w:val="24"/>
        </w:rPr>
      </w:pPr>
      <w:r w:rsidRPr="00FB37F0">
        <w:rPr>
          <w:rFonts w:ascii="Verdana" w:hAnsi="Verdana" w:cs="Arial"/>
          <w:sz w:val="24"/>
          <w:szCs w:val="24"/>
        </w:rPr>
        <w:t xml:space="preserve">The EMRTS </w:t>
      </w:r>
      <w:r w:rsidR="00FB37F0">
        <w:rPr>
          <w:rFonts w:ascii="Verdana" w:hAnsi="Verdana" w:cs="Arial"/>
          <w:sz w:val="24"/>
          <w:szCs w:val="24"/>
        </w:rPr>
        <w:t>provider baseline is agreed with EASC and aligned to the IMTP as at the end of June 2023 and is covered in the Heads of Agreement document signed between WHSSC &amp; Swansea Bay for 2023/24.</w:t>
      </w:r>
    </w:p>
    <w:p w14:paraId="184AAD5F" w14:textId="77777777" w:rsidR="00FB37F0" w:rsidRDefault="00FB37F0" w:rsidP="00FB37F0">
      <w:pPr>
        <w:spacing w:after="0" w:line="240" w:lineRule="auto"/>
        <w:rPr>
          <w:rFonts w:ascii="Verdana" w:hAnsi="Verdana" w:cs="Arial"/>
          <w:sz w:val="24"/>
          <w:szCs w:val="24"/>
        </w:rPr>
      </w:pPr>
    </w:p>
    <w:p w14:paraId="227DDB99" w14:textId="38D428DA" w:rsidR="00543056" w:rsidRDefault="00543056" w:rsidP="006213B0">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997559F" w14:textId="43FA1D1E" w:rsidR="00C61733" w:rsidRPr="00C61733" w:rsidRDefault="00C61733" w:rsidP="008A226A">
      <w:pPr>
        <w:pStyle w:val="ListParagraph"/>
        <w:numPr>
          <w:ilvl w:val="1"/>
          <w:numId w:val="22"/>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w:t>
      </w:r>
      <w:r w:rsidR="00E27E10">
        <w:rPr>
          <w:rFonts w:ascii="Verdana" w:hAnsi="Verdana" w:cs="Arial"/>
          <w:sz w:val="24"/>
          <w:szCs w:val="24"/>
        </w:rPr>
        <w:t xml:space="preserve">riginal investment by LHB’s. </w:t>
      </w:r>
    </w:p>
    <w:p w14:paraId="6FC6F17A" w14:textId="58E2ACFC" w:rsidR="00722A5A" w:rsidRPr="006213B0" w:rsidRDefault="008A226A" w:rsidP="006213B0">
      <w:pPr>
        <w:pStyle w:val="ListParagraph"/>
        <w:rPr>
          <w:rFonts w:ascii="Verdana" w:hAnsi="Verdana" w:cs="Arial"/>
          <w:sz w:val="24"/>
          <w:szCs w:val="24"/>
        </w:rPr>
      </w:pPr>
      <w:r w:rsidRPr="008A226A">
        <w:rPr>
          <w:noProof/>
          <w:lang w:val="en-GB" w:eastAsia="en-GB"/>
        </w:rPr>
        <w:drawing>
          <wp:inline distT="0" distB="0" distL="0" distR="0" wp14:anchorId="3BE72FB5" wp14:editId="504A9929">
            <wp:extent cx="5410200" cy="1219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0200" cy="1219200"/>
                    </a:xfrm>
                    <a:prstGeom prst="rect">
                      <a:avLst/>
                    </a:prstGeom>
                    <a:noFill/>
                    <a:ln>
                      <a:noFill/>
                    </a:ln>
                  </pic:spPr>
                </pic:pic>
              </a:graphicData>
            </a:graphic>
          </wp:inline>
        </w:drawing>
      </w:r>
    </w:p>
    <w:p w14:paraId="091766DD" w14:textId="75714794" w:rsidR="00722A5A" w:rsidRPr="006213B0" w:rsidRDefault="00722A5A" w:rsidP="006213B0">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Commissioning</w:t>
      </w:r>
    </w:p>
    <w:p w14:paraId="6C86025D" w14:textId="76FE8120" w:rsidR="004A3AE2" w:rsidRDefault="00E27E10" w:rsidP="008A226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An additional provision was made in the development of the 2022/23 EASC IMTP for the recurrent funding of the S</w:t>
      </w:r>
      <w:r w:rsidR="005E59F9">
        <w:rPr>
          <w:rFonts w:ascii="Verdana" w:hAnsi="Verdana" w:cs="Arial"/>
          <w:sz w:val="24"/>
          <w:szCs w:val="24"/>
        </w:rPr>
        <w:t>outh East</w:t>
      </w:r>
      <w:r>
        <w:rPr>
          <w:rFonts w:ascii="Verdana" w:hAnsi="Verdana" w:cs="Arial"/>
          <w:sz w:val="24"/>
          <w:szCs w:val="24"/>
        </w:rPr>
        <w:t xml:space="preserve"> Wales Acute Coronary Syndrome pathway.</w:t>
      </w:r>
    </w:p>
    <w:p w14:paraId="6E237A28" w14:textId="60A9ED10" w:rsidR="00806C55" w:rsidRDefault="00727C00" w:rsidP="00806C55">
      <w:pPr>
        <w:pStyle w:val="ListParagraph"/>
        <w:spacing w:after="0" w:line="240" w:lineRule="auto"/>
        <w:jc w:val="both"/>
        <w:rPr>
          <w:rFonts w:ascii="Verdana" w:hAnsi="Verdana" w:cs="Arial"/>
          <w:sz w:val="24"/>
          <w:szCs w:val="24"/>
        </w:rPr>
      </w:pPr>
      <w:r w:rsidRPr="00727C00">
        <w:rPr>
          <w:noProof/>
          <w:lang w:val="en-GB" w:eastAsia="en-GB"/>
        </w:rPr>
        <w:drawing>
          <wp:inline distT="0" distB="0" distL="0" distR="0" wp14:anchorId="1B7BDAC3" wp14:editId="54F1F0A6">
            <wp:extent cx="5410200" cy="12477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0200" cy="1247775"/>
                    </a:xfrm>
                    <a:prstGeom prst="rect">
                      <a:avLst/>
                    </a:prstGeom>
                    <a:noFill/>
                    <a:ln>
                      <a:noFill/>
                    </a:ln>
                  </pic:spPr>
                </pic:pic>
              </a:graphicData>
            </a:graphic>
          </wp:inline>
        </w:drawing>
      </w:r>
    </w:p>
    <w:p w14:paraId="729A182B" w14:textId="77777777" w:rsidR="005E59F9" w:rsidRPr="005E59F9" w:rsidRDefault="005E59F9" w:rsidP="00CE462C">
      <w:pPr>
        <w:pStyle w:val="ListParagraph"/>
        <w:spacing w:after="0" w:line="240" w:lineRule="auto"/>
        <w:jc w:val="both"/>
        <w:rPr>
          <w:rFonts w:ascii="Verdana" w:hAnsi="Verdana" w:cs="Arial"/>
          <w:sz w:val="18"/>
          <w:szCs w:val="18"/>
          <w:u w:val="single"/>
        </w:rPr>
      </w:pPr>
    </w:p>
    <w:p w14:paraId="25472DE4" w14:textId="32FEC360"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5910E4C0" w14:textId="0F98B7A9" w:rsidR="00CE462C" w:rsidRDefault="000C05DE" w:rsidP="008A226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N</w:t>
      </w:r>
      <w:r w:rsidR="00E65B21">
        <w:rPr>
          <w:rFonts w:ascii="Verdana" w:hAnsi="Verdana" w:cs="Arial"/>
          <w:sz w:val="24"/>
          <w:szCs w:val="24"/>
        </w:rPr>
        <w:t xml:space="preserve">il variances reported in Month </w:t>
      </w:r>
      <w:r w:rsidR="00C60197">
        <w:rPr>
          <w:rFonts w:ascii="Verdana" w:hAnsi="Verdana" w:cs="Arial"/>
          <w:sz w:val="24"/>
          <w:szCs w:val="24"/>
        </w:rPr>
        <w:t>4</w:t>
      </w:r>
    </w:p>
    <w:p w14:paraId="78247D8D" w14:textId="77777777" w:rsidR="00CE462C" w:rsidRPr="005E59F9" w:rsidRDefault="00CE462C" w:rsidP="00CE462C">
      <w:pPr>
        <w:pStyle w:val="ListParagraph"/>
        <w:spacing w:after="0" w:line="240" w:lineRule="auto"/>
        <w:jc w:val="both"/>
        <w:rPr>
          <w:rFonts w:ascii="Verdana" w:hAnsi="Verdana" w:cs="Arial"/>
          <w:sz w:val="14"/>
          <w:szCs w:val="14"/>
        </w:rPr>
      </w:pPr>
    </w:p>
    <w:p w14:paraId="2AF18854" w14:textId="185CF5BD"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r w:rsidR="005E59F9">
        <w:rPr>
          <w:rFonts w:ascii="Verdana" w:hAnsi="Verdana" w:cs="Arial"/>
          <w:sz w:val="24"/>
          <w:szCs w:val="24"/>
          <w:u w:val="single"/>
        </w:rPr>
        <w:t>t</w:t>
      </w:r>
      <w:r w:rsidRPr="00CE462C">
        <w:rPr>
          <w:rFonts w:ascii="Verdana" w:hAnsi="Verdana" w:cs="Arial"/>
          <w:sz w:val="24"/>
          <w:szCs w:val="24"/>
          <w:u w:val="single"/>
        </w:rPr>
        <w:t>o Date and Forecast Over/Underspend (Provider positions)</w:t>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5E59F9" w:rsidRDefault="00CE462C" w:rsidP="00CE462C">
      <w:pPr>
        <w:pStyle w:val="ListParagraph"/>
        <w:spacing w:after="0" w:line="240" w:lineRule="auto"/>
        <w:jc w:val="both"/>
        <w:rPr>
          <w:rFonts w:ascii="Verdana" w:hAnsi="Verdana" w:cs="Arial"/>
          <w:sz w:val="18"/>
          <w:szCs w:val="18"/>
        </w:rPr>
      </w:pPr>
    </w:p>
    <w:p w14:paraId="64C51164" w14:textId="783F3E5D" w:rsidR="0084048A" w:rsidRDefault="000C05DE" w:rsidP="0084048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None reported to date</w:t>
      </w:r>
    </w:p>
    <w:p w14:paraId="5F28ADE7" w14:textId="77777777" w:rsidR="00CE462C" w:rsidRPr="005E59F9" w:rsidRDefault="00CE462C" w:rsidP="00CE462C">
      <w:pPr>
        <w:pStyle w:val="ListParagraph"/>
        <w:spacing w:after="0" w:line="240" w:lineRule="auto"/>
        <w:jc w:val="both"/>
        <w:rPr>
          <w:rFonts w:ascii="Verdana" w:hAnsi="Verdana" w:cs="Arial"/>
          <w:sz w:val="14"/>
          <w:szCs w:val="1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467AE192" w14:textId="1C9E2D76" w:rsidR="00CB484F" w:rsidRDefault="00CE462C" w:rsidP="00C60197">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Team costs are based on expected staffing levels</w:t>
      </w:r>
      <w:r w:rsidR="00C60197">
        <w:rPr>
          <w:rFonts w:ascii="Verdana" w:hAnsi="Verdana" w:cs="Arial"/>
          <w:sz w:val="24"/>
          <w:szCs w:val="24"/>
        </w:rPr>
        <w:t>.</w:t>
      </w:r>
      <w:r w:rsidR="00C60197" w:rsidRPr="00E62C72">
        <w:rPr>
          <w:rFonts w:ascii="Verdana" w:hAnsi="Verdana" w:cs="Arial"/>
          <w:sz w:val="24"/>
          <w:szCs w:val="24"/>
        </w:rPr>
        <w:t xml:space="preserve"> </w:t>
      </w:r>
    </w:p>
    <w:p w14:paraId="7B42BF16" w14:textId="77777777" w:rsidR="005E59F9" w:rsidRPr="00E62C72" w:rsidRDefault="005E59F9" w:rsidP="005E59F9">
      <w:pPr>
        <w:pStyle w:val="ListParagraph"/>
        <w:spacing w:after="0" w:line="240" w:lineRule="auto"/>
        <w:jc w:val="both"/>
        <w:rPr>
          <w:rFonts w:ascii="Verdana" w:hAnsi="Verdana" w:cs="Arial"/>
          <w:sz w:val="24"/>
          <w:szCs w:val="24"/>
        </w:rPr>
      </w:pPr>
    </w:p>
    <w:p w14:paraId="35C4903A" w14:textId="7C58F88D"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w:t>
      </w:r>
      <w:r w:rsidR="006766DA">
        <w:rPr>
          <w:rFonts w:ascii="Verdana" w:hAnsi="Verdana" w:cs="Arial"/>
          <w:sz w:val="24"/>
          <w:szCs w:val="24"/>
          <w:u w:val="single"/>
        </w:rPr>
        <w:t>Yearend</w:t>
      </w:r>
      <w:r w:rsidR="00E62C72">
        <w:rPr>
          <w:rFonts w:ascii="Verdana" w:hAnsi="Verdana" w:cs="Arial"/>
          <w:sz w:val="24"/>
          <w:szCs w:val="24"/>
          <w:u w:val="single"/>
        </w:rPr>
        <w:t xml:space="preserve"> Over/(under)spend 202</w:t>
      </w:r>
      <w:r w:rsidR="00C60197">
        <w:rPr>
          <w:rFonts w:ascii="Verdana" w:hAnsi="Verdana" w:cs="Arial"/>
          <w:sz w:val="24"/>
          <w:szCs w:val="24"/>
          <w:u w:val="single"/>
        </w:rPr>
        <w:t>3</w:t>
      </w:r>
      <w:r w:rsidR="00E62C72">
        <w:rPr>
          <w:rFonts w:ascii="Verdana" w:hAnsi="Verdana" w:cs="Arial"/>
          <w:sz w:val="24"/>
          <w:szCs w:val="24"/>
          <w:u w:val="single"/>
        </w:rPr>
        <w:t>/2</w:t>
      </w:r>
      <w:r w:rsidR="00C60197">
        <w:rPr>
          <w:rFonts w:ascii="Verdana" w:hAnsi="Verdana" w:cs="Arial"/>
          <w:sz w:val="24"/>
          <w:szCs w:val="24"/>
          <w:u w:val="single"/>
        </w:rPr>
        <w:t>4</w:t>
      </w:r>
      <w:r w:rsidRPr="00CE462C">
        <w:rPr>
          <w:rFonts w:ascii="Verdana" w:hAnsi="Verdana" w:cs="Arial"/>
          <w:sz w:val="24"/>
          <w:szCs w:val="24"/>
          <w:u w:val="single"/>
        </w:rPr>
        <w:t xml:space="preserve"> (Commissioner positions)</w:t>
      </w:r>
    </w:p>
    <w:p w14:paraId="3548CC8E" w14:textId="77FD37C5" w:rsidR="0084048A" w:rsidRDefault="00C60197" w:rsidP="00CE462C">
      <w:pPr>
        <w:pStyle w:val="ListParagraph"/>
        <w:spacing w:after="0" w:line="240" w:lineRule="auto"/>
        <w:jc w:val="both"/>
        <w:rPr>
          <w:rFonts w:ascii="Verdana" w:hAnsi="Verdana" w:cs="Arial"/>
          <w:sz w:val="24"/>
          <w:szCs w:val="24"/>
          <w:u w:val="single"/>
        </w:rPr>
      </w:pPr>
      <w:r w:rsidRPr="00C60197">
        <w:rPr>
          <w:noProof/>
        </w:rPr>
        <w:drawing>
          <wp:inline distT="0" distB="0" distL="0" distR="0" wp14:anchorId="33A46B05" wp14:editId="12A3DA6A">
            <wp:extent cx="5495925" cy="404675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8769" cy="4048845"/>
                    </a:xfrm>
                    <a:prstGeom prst="rect">
                      <a:avLst/>
                    </a:prstGeom>
                    <a:noFill/>
                    <a:ln>
                      <a:noFill/>
                    </a:ln>
                  </pic:spPr>
                </pic:pic>
              </a:graphicData>
            </a:graphic>
          </wp:inline>
        </w:drawing>
      </w: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2FEA2B8A" w14:textId="4AA9AA2D"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26DF04EE" w14:textId="3F7D8DC2" w:rsidR="004F6AB9" w:rsidRPr="004F6AB9" w:rsidRDefault="00E62C72" w:rsidP="004F6AB9">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8624A1">
        <w:rPr>
          <w:rFonts w:ascii="Verdana" w:hAnsi="Verdana" w:cs="Arial"/>
          <w:sz w:val="24"/>
          <w:szCs w:val="24"/>
        </w:rPr>
        <w:t>3</w:t>
      </w:r>
      <w:r w:rsidR="00F01092">
        <w:rPr>
          <w:rFonts w:ascii="Verdana" w:hAnsi="Verdana" w:cs="Arial"/>
          <w:sz w:val="24"/>
          <w:szCs w:val="24"/>
        </w:rPr>
        <w:t xml:space="preserve"> </w:t>
      </w:r>
      <w:r w:rsidR="000C05DE">
        <w:rPr>
          <w:rFonts w:ascii="Verdana" w:hAnsi="Verdana" w:cs="Arial"/>
          <w:sz w:val="24"/>
          <w:szCs w:val="24"/>
        </w:rPr>
        <w:t xml:space="preserve">is </w:t>
      </w:r>
      <w:r w:rsidR="00CE462C" w:rsidRPr="00CE462C">
        <w:rPr>
          <w:rFonts w:ascii="Verdana" w:hAnsi="Verdana" w:cs="Arial"/>
          <w:sz w:val="24"/>
          <w:szCs w:val="24"/>
        </w:rPr>
        <w:t xml:space="preserve">in line with </w:t>
      </w:r>
      <w:r w:rsidR="00E27E10">
        <w:rPr>
          <w:rFonts w:ascii="Verdana" w:hAnsi="Verdana" w:cs="Arial"/>
          <w:sz w:val="24"/>
          <w:szCs w:val="24"/>
        </w:rPr>
        <w:t>the anticipated</w:t>
      </w:r>
      <w:r w:rsidR="00750FBA">
        <w:rPr>
          <w:rFonts w:ascii="Verdana" w:hAnsi="Verdana" w:cs="Arial"/>
          <w:sz w:val="24"/>
          <w:szCs w:val="24"/>
        </w:rPr>
        <w:t xml:space="preserve"> expectations.</w:t>
      </w:r>
      <w:r w:rsidR="00E27E10">
        <w:rPr>
          <w:rFonts w:ascii="Verdana" w:hAnsi="Verdana" w:cs="Arial"/>
          <w:sz w:val="24"/>
          <w:szCs w:val="24"/>
        </w:rPr>
        <w:t xml:space="preserve"> </w:t>
      </w:r>
      <w:r w:rsidR="004F6AB9">
        <w:rPr>
          <w:rFonts w:ascii="Verdana" w:hAnsi="Verdana" w:cs="Arial"/>
          <w:sz w:val="24"/>
          <w:szCs w:val="24"/>
        </w:rPr>
        <w:t>This is as EASC cannot overspend and HB contributions must balance to expenditure.</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6129A519" w14:textId="77E44E28" w:rsidR="00CE462C" w:rsidRDefault="00014565" w:rsidP="00CE462C">
      <w:pPr>
        <w:pStyle w:val="ListParagraph"/>
        <w:spacing w:after="0" w:line="240" w:lineRule="auto"/>
        <w:jc w:val="both"/>
        <w:rPr>
          <w:rFonts w:ascii="Verdana" w:hAnsi="Verdana" w:cs="Arial"/>
          <w:sz w:val="24"/>
          <w:szCs w:val="24"/>
        </w:rPr>
      </w:pPr>
      <w:r>
        <w:rPr>
          <w:rFonts w:ascii="Verdana" w:hAnsi="Verdana" w:cs="Arial"/>
          <w:sz w:val="24"/>
          <w:szCs w:val="24"/>
        </w:rPr>
        <w:t>None</w:t>
      </w:r>
    </w:p>
    <w:p w14:paraId="4244B382" w14:textId="77777777" w:rsidR="00014565" w:rsidRDefault="00014565"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6433EA5B" w14:textId="00966755" w:rsidR="00CE462C" w:rsidRPr="00C61733"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 xml:space="preserve">The WHSSC/EASC payment compliance target is consolidated and reported through the Cwm Taf </w:t>
      </w:r>
      <w:r w:rsidR="005E59F9">
        <w:rPr>
          <w:rFonts w:ascii="Verdana" w:hAnsi="Verdana" w:cs="Arial"/>
          <w:sz w:val="24"/>
          <w:szCs w:val="24"/>
        </w:rPr>
        <w:t xml:space="preserve">Morgannwg </w:t>
      </w:r>
      <w:r w:rsidRPr="00CE462C">
        <w:rPr>
          <w:rFonts w:ascii="Verdana" w:hAnsi="Verdana" w:cs="Arial"/>
          <w:sz w:val="24"/>
          <w:szCs w:val="24"/>
        </w:rPr>
        <w:t>monitoring process.</w:t>
      </w:r>
    </w:p>
    <w:p w14:paraId="12790AFA" w14:textId="77777777" w:rsidR="005E59F9" w:rsidRDefault="005E59F9" w:rsidP="005E59F9">
      <w:pPr>
        <w:pStyle w:val="ListParagraph"/>
        <w:spacing w:after="0" w:line="240" w:lineRule="auto"/>
        <w:ind w:left="709"/>
        <w:rPr>
          <w:rFonts w:ascii="Verdana" w:hAnsi="Verdana" w:cs="Arial"/>
          <w:b/>
          <w:sz w:val="24"/>
          <w:szCs w:val="24"/>
        </w:rPr>
      </w:pPr>
    </w:p>
    <w:p w14:paraId="6A5EBC46" w14:textId="2506D729" w:rsidR="002F3A0D" w:rsidRPr="00E23B12" w:rsidRDefault="002F3A0D" w:rsidP="008A226A">
      <w:pPr>
        <w:pStyle w:val="ListParagraph"/>
        <w:numPr>
          <w:ilvl w:val="0"/>
          <w:numId w:val="22"/>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25A5FD57" w14:textId="40884DF6" w:rsidR="002F3A0D" w:rsidRPr="00C60197" w:rsidRDefault="00A167AC" w:rsidP="00C60197">
      <w:pPr>
        <w:pStyle w:val="ListParagraph"/>
        <w:numPr>
          <w:ilvl w:val="1"/>
          <w:numId w:val="23"/>
        </w:numPr>
        <w:spacing w:after="0" w:line="240" w:lineRule="auto"/>
        <w:jc w:val="both"/>
        <w:rPr>
          <w:rFonts w:ascii="Verdana" w:hAnsi="Verdana" w:cs="Arial"/>
          <w:sz w:val="28"/>
          <w:szCs w:val="24"/>
        </w:rPr>
      </w:pPr>
      <w:r>
        <w:rPr>
          <w:rFonts w:ascii="Verdana" w:hAnsi="Verdana" w:cs="Arial"/>
          <w:sz w:val="24"/>
          <w:szCs w:val="24"/>
        </w:rPr>
        <w:t xml:space="preserve">Ongoing work will identify the residual funding gap for WAST capacity in 2023/24. The WG assumption is </w:t>
      </w:r>
      <w:r w:rsidR="00C60197">
        <w:rPr>
          <w:rFonts w:ascii="Verdana" w:hAnsi="Verdana" w:cs="Arial"/>
          <w:sz w:val="24"/>
          <w:szCs w:val="24"/>
        </w:rPr>
        <w:t>funding for the 100wte will be tapered as performance in handover delays improves. H</w:t>
      </w:r>
      <w:r w:rsidRPr="00C60197">
        <w:rPr>
          <w:rFonts w:ascii="Verdana" w:hAnsi="Verdana" w:cs="Arial"/>
          <w:sz w:val="24"/>
          <w:szCs w:val="24"/>
        </w:rPr>
        <w:t>ealth boards who do not improve performance in eradicating the handover delays will be jointly liable to meet the funding requirement.</w:t>
      </w:r>
    </w:p>
    <w:p w14:paraId="648B2C00" w14:textId="77777777" w:rsidR="00A167AC" w:rsidRPr="00A167AC" w:rsidRDefault="00A167AC" w:rsidP="00A167AC">
      <w:pPr>
        <w:pStyle w:val="ListParagraph"/>
        <w:spacing w:after="0" w:line="240" w:lineRule="auto"/>
        <w:ind w:left="360"/>
        <w:jc w:val="both"/>
        <w:rPr>
          <w:rFonts w:ascii="Verdana" w:hAnsi="Verdana" w:cs="Arial"/>
          <w:sz w:val="28"/>
          <w:szCs w:val="24"/>
        </w:rPr>
      </w:pPr>
    </w:p>
    <w:p w14:paraId="2CE1C821" w14:textId="4487E0AE" w:rsidR="00A167AC" w:rsidRPr="005E59F9" w:rsidRDefault="005E59F9" w:rsidP="005E59F9">
      <w:pPr>
        <w:pStyle w:val="ListParagraph"/>
        <w:numPr>
          <w:ilvl w:val="0"/>
          <w:numId w:val="22"/>
        </w:numPr>
        <w:spacing w:after="0" w:line="240" w:lineRule="auto"/>
        <w:ind w:left="709" w:hanging="709"/>
        <w:rPr>
          <w:rFonts w:ascii="Verdana" w:hAnsi="Verdana" w:cs="Arial"/>
          <w:b/>
          <w:sz w:val="24"/>
          <w:szCs w:val="24"/>
        </w:rPr>
      </w:pPr>
      <w:r w:rsidRPr="005E59F9">
        <w:rPr>
          <w:rFonts w:ascii="Verdana" w:hAnsi="Verdana" w:cs="Arial"/>
          <w:b/>
          <w:sz w:val="24"/>
          <w:szCs w:val="24"/>
        </w:rPr>
        <w:t>RESPONSES TO ACTION NOTES FROM WG MMR RESPONSES</w:t>
      </w:r>
    </w:p>
    <w:p w14:paraId="34663567" w14:textId="77777777" w:rsidR="00A167AC" w:rsidRDefault="00A167AC" w:rsidP="00A167AC">
      <w:pPr>
        <w:pStyle w:val="ListParagraph"/>
        <w:ind w:left="360"/>
        <w:jc w:val="both"/>
        <w:rPr>
          <w:rFonts w:ascii="Verdana" w:hAnsi="Verdana" w:cs="Arial"/>
          <w:b/>
          <w:caps/>
          <w:sz w:val="26"/>
          <w:szCs w:val="26"/>
        </w:rPr>
      </w:pPr>
    </w:p>
    <w:p w14:paraId="4F461425" w14:textId="02126D25" w:rsidR="00A167AC" w:rsidRPr="00A167AC" w:rsidRDefault="00A167AC" w:rsidP="00A167AC">
      <w:pPr>
        <w:pStyle w:val="ListParagraph"/>
        <w:numPr>
          <w:ilvl w:val="1"/>
          <w:numId w:val="23"/>
        </w:numPr>
        <w:spacing w:after="0" w:line="240" w:lineRule="auto"/>
        <w:jc w:val="both"/>
        <w:rPr>
          <w:rFonts w:ascii="Verdana" w:hAnsi="Verdana" w:cs="Arial"/>
          <w:sz w:val="28"/>
          <w:szCs w:val="24"/>
        </w:rPr>
      </w:pPr>
      <w:r>
        <w:rPr>
          <w:rFonts w:ascii="Verdana" w:hAnsi="Verdana" w:cs="Arial"/>
          <w:sz w:val="24"/>
          <w:szCs w:val="24"/>
        </w:rPr>
        <w:t>Health Boards have been asked to confirm there are no disputed income assumptions in the 2023/24 EASC IMTP to avoid any potential arbitrations</w:t>
      </w:r>
      <w:r w:rsidR="004D68E1">
        <w:rPr>
          <w:rFonts w:ascii="Verdana" w:hAnsi="Verdana" w:cs="Arial"/>
          <w:sz w:val="24"/>
          <w:szCs w:val="24"/>
        </w:rPr>
        <w:t xml:space="preserve"> later in the year.</w:t>
      </w:r>
      <w:r w:rsidR="00C60197">
        <w:rPr>
          <w:rFonts w:ascii="Verdana" w:hAnsi="Verdana" w:cs="Arial"/>
          <w:sz w:val="24"/>
          <w:szCs w:val="24"/>
        </w:rPr>
        <w:t xml:space="preserve"> No disputes have been raised to date.</w:t>
      </w:r>
    </w:p>
    <w:p w14:paraId="0B550F18" w14:textId="77777777" w:rsidR="0084048A" w:rsidRPr="00E23B12" w:rsidRDefault="0084048A" w:rsidP="00344184">
      <w:pPr>
        <w:spacing w:after="0" w:line="240" w:lineRule="auto"/>
        <w:rPr>
          <w:rFonts w:ascii="Verdana" w:hAnsi="Verdana" w:cs="Arial"/>
          <w:b/>
          <w:sz w:val="24"/>
          <w:szCs w:val="24"/>
        </w:rPr>
      </w:pPr>
    </w:p>
    <w:p w14:paraId="25F5A9E3" w14:textId="77777777" w:rsidR="006A7DA6" w:rsidRDefault="0083034D" w:rsidP="005E59F9">
      <w:pPr>
        <w:pStyle w:val="ListParagraph"/>
        <w:numPr>
          <w:ilvl w:val="0"/>
          <w:numId w:val="22"/>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5E59F9">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E59F9">
        <w:trPr>
          <w:trHeight w:val="593"/>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5E59F9"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2EA4D2C5" w:rsidR="005E59F9" w:rsidRPr="00E23B12" w:rsidRDefault="00344184" w:rsidP="00344184">
            <w:pPr>
              <w:rPr>
                <w:rFonts w:ascii="Verdana" w:hAnsi="Verdana" w:cs="Arial"/>
                <w:b/>
                <w:sz w:val="24"/>
                <w:szCs w:val="24"/>
              </w:rPr>
            </w:pPr>
            <w:r w:rsidRPr="00E23B12">
              <w:rPr>
                <w:rFonts w:ascii="Verdana" w:hAnsi="Verdana" w:cs="Arial"/>
                <w:b/>
                <w:sz w:val="24"/>
                <w:szCs w:val="24"/>
              </w:rPr>
              <w:t>Impac</w:t>
            </w:r>
            <w:r w:rsidR="005E59F9">
              <w:rPr>
                <w:rFonts w:ascii="Verdana" w:hAnsi="Verdana" w:cs="Arial"/>
                <w:b/>
                <w:sz w:val="24"/>
                <w:szCs w:val="24"/>
              </w:rPr>
              <w:t>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5E59F9">
        <w:trPr>
          <w:trHeight w:val="7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6AE46D11" w14:textId="77777777" w:rsidR="003E43AD" w:rsidRPr="00E23B12" w:rsidRDefault="00925EEC" w:rsidP="005E59F9">
      <w:pPr>
        <w:pStyle w:val="ListParagraph"/>
        <w:numPr>
          <w:ilvl w:val="0"/>
          <w:numId w:val="22"/>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Pr="005E59F9" w:rsidRDefault="001750A0" w:rsidP="005E59F9">
      <w:pPr>
        <w:spacing w:after="0" w:line="240" w:lineRule="auto"/>
        <w:rPr>
          <w:rFonts w:ascii="Verdana" w:hAnsi="Verdana" w:cs="Arial"/>
          <w:sz w:val="24"/>
          <w:szCs w:val="24"/>
        </w:rPr>
      </w:pPr>
      <w:r w:rsidRPr="005E59F9">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Pr="005E59F9" w:rsidRDefault="007E59F6" w:rsidP="005E59F9">
      <w:pPr>
        <w:pStyle w:val="ListParagraph"/>
        <w:numPr>
          <w:ilvl w:val="0"/>
          <w:numId w:val="24"/>
        </w:numPr>
        <w:spacing w:after="0" w:line="240" w:lineRule="auto"/>
        <w:rPr>
          <w:rFonts w:ascii="Verdana" w:hAnsi="Verdana" w:cs="Arial"/>
          <w:sz w:val="24"/>
          <w:szCs w:val="24"/>
        </w:rPr>
      </w:pPr>
      <w:r w:rsidRPr="005E59F9">
        <w:rPr>
          <w:rFonts w:ascii="Verdana" w:hAnsi="Verdana" w:cs="Arial"/>
          <w:b/>
          <w:sz w:val="24"/>
          <w:szCs w:val="24"/>
        </w:rPr>
        <w:t>NOTE</w:t>
      </w:r>
      <w:r w:rsidRPr="005E59F9">
        <w:rPr>
          <w:rFonts w:ascii="Verdana" w:hAnsi="Verdana" w:cs="Arial"/>
          <w:sz w:val="24"/>
          <w:szCs w:val="24"/>
        </w:rPr>
        <w:t xml:space="preserve"> the current financial position and forecast year-end position.</w:t>
      </w:r>
    </w:p>
    <w:p w14:paraId="2FE53A5E" w14:textId="4B7D109A" w:rsidR="007E59F6" w:rsidRDefault="007E59F6"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063F5582" w:rsidR="00372B54" w:rsidRDefault="00372B54" w:rsidP="005E59F9">
      <w:pPr>
        <w:pStyle w:val="ListParagraph"/>
        <w:numPr>
          <w:ilvl w:val="0"/>
          <w:numId w:val="22"/>
        </w:numPr>
        <w:spacing w:after="0" w:line="240" w:lineRule="auto"/>
        <w:ind w:left="709" w:hanging="709"/>
        <w:rPr>
          <w:rFonts w:ascii="Verdana" w:hAnsi="Verdana" w:cs="Arial"/>
          <w:b/>
          <w:sz w:val="24"/>
          <w:szCs w:val="24"/>
        </w:rPr>
      </w:pPr>
      <w:r w:rsidRPr="00372B54">
        <w:rPr>
          <w:rFonts w:ascii="Verdana" w:hAnsi="Verdana" w:cs="Arial"/>
          <w:b/>
          <w:sz w:val="24"/>
          <w:szCs w:val="24"/>
        </w:rPr>
        <w:t xml:space="preserve">Confirmation of position report by the </w:t>
      </w:r>
      <w:r w:rsidR="005E59F9">
        <w:rPr>
          <w:rFonts w:ascii="Verdana" w:hAnsi="Verdana" w:cs="Arial"/>
          <w:b/>
          <w:sz w:val="24"/>
          <w:szCs w:val="24"/>
        </w:rPr>
        <w:t xml:space="preserve">CASC / </w:t>
      </w:r>
      <w:r w:rsidRPr="00372B54">
        <w:rPr>
          <w:rFonts w:ascii="Verdana" w:hAnsi="Verdana" w:cs="Arial"/>
          <w:b/>
          <w:sz w:val="24"/>
          <w:szCs w:val="24"/>
        </w:rPr>
        <w:t>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68D8E7D7" w14:textId="77777777" w:rsidR="004D68E1" w:rsidRDefault="004D68E1" w:rsidP="00372B54">
      <w:pPr>
        <w:spacing w:after="0" w:line="240" w:lineRule="auto"/>
        <w:rPr>
          <w:rFonts w:cs="Arial"/>
        </w:rPr>
      </w:pPr>
    </w:p>
    <w:p w14:paraId="51537E11" w14:textId="58977343" w:rsidR="00372B54" w:rsidRDefault="00C60197" w:rsidP="00372B54">
      <w:pPr>
        <w:spacing w:after="0" w:line="240" w:lineRule="auto"/>
        <w:rPr>
          <w:rFonts w:ascii="Verdana" w:hAnsi="Verdana" w:cs="Arial"/>
          <w:b/>
          <w:sz w:val="24"/>
          <w:szCs w:val="24"/>
        </w:rPr>
      </w:pPr>
      <w:r>
        <w:rPr>
          <w:noProof/>
          <w:lang w:val="en-GB" w:eastAsia="en-GB"/>
        </w:rPr>
        <w:drawing>
          <wp:inline distT="0" distB="0" distL="0" distR="0" wp14:anchorId="034BC744" wp14:editId="5F6A5B6B">
            <wp:extent cx="2333625" cy="485775"/>
            <wp:effectExtent l="0" t="0" r="9525" b="9525"/>
            <wp:docPr id="7" name="Picture 7" descr="cid:image002.jpg@01D94DC7.8CA2C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02.jpg@01D94DC7.8CA2CB10"/>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2333625" cy="485775"/>
                    </a:xfrm>
                    <a:prstGeom prst="rect">
                      <a:avLst/>
                    </a:prstGeom>
                    <a:noFill/>
                    <a:ln>
                      <a:noFill/>
                    </a:ln>
                  </pic:spPr>
                </pic:pic>
              </a:graphicData>
            </a:graphic>
          </wp:inline>
        </w:drawing>
      </w:r>
      <w:r w:rsidDel="00D61B13">
        <w:rPr>
          <w:rFonts w:cs="Arial"/>
        </w:rPr>
        <w:t xml:space="preserve"> </w:t>
      </w:r>
    </w:p>
    <w:p w14:paraId="2C151E03" w14:textId="77777777" w:rsidR="00372B54" w:rsidRDefault="00372B54" w:rsidP="00372B54">
      <w:pPr>
        <w:spacing w:after="0" w:line="240" w:lineRule="auto"/>
        <w:rPr>
          <w:rFonts w:ascii="Verdana" w:hAnsi="Verdana" w:cs="Arial"/>
          <w:b/>
          <w:sz w:val="24"/>
          <w:szCs w:val="24"/>
        </w:rPr>
      </w:pPr>
    </w:p>
    <w:p w14:paraId="412D1DB9" w14:textId="2946B1E1" w:rsidR="00372B54" w:rsidRPr="00372B54" w:rsidRDefault="00C60197" w:rsidP="00372B54">
      <w:pPr>
        <w:spacing w:after="0" w:line="240" w:lineRule="auto"/>
        <w:rPr>
          <w:rFonts w:ascii="Verdana" w:hAnsi="Verdana" w:cs="Arial"/>
          <w:b/>
          <w:sz w:val="24"/>
          <w:szCs w:val="24"/>
        </w:rPr>
      </w:pPr>
      <w:r>
        <w:rPr>
          <w:rFonts w:ascii="Verdana" w:hAnsi="Verdana" w:cs="Arial"/>
          <w:b/>
          <w:sz w:val="24"/>
          <w:szCs w:val="24"/>
        </w:rPr>
        <w:t>James Leaves</w:t>
      </w:r>
      <w:r w:rsidR="00372B54" w:rsidRPr="00372B54">
        <w:rPr>
          <w:rFonts w:ascii="Verdana" w:hAnsi="Verdana" w:cs="Arial"/>
          <w:b/>
          <w:sz w:val="24"/>
          <w:szCs w:val="24"/>
        </w:rPr>
        <w:t>,</w:t>
      </w:r>
    </w:p>
    <w:p w14:paraId="7ADA2ABB" w14:textId="4E0CC5DB" w:rsidR="00372B54" w:rsidRDefault="00C60197" w:rsidP="00372B54">
      <w:pPr>
        <w:spacing w:after="0" w:line="240" w:lineRule="auto"/>
        <w:rPr>
          <w:rFonts w:ascii="Verdana" w:hAnsi="Verdana" w:cs="Arial"/>
          <w:b/>
          <w:sz w:val="24"/>
          <w:szCs w:val="24"/>
        </w:rPr>
      </w:pPr>
      <w:r>
        <w:rPr>
          <w:rFonts w:ascii="Verdana" w:hAnsi="Verdana" w:cs="Arial"/>
          <w:b/>
          <w:sz w:val="24"/>
          <w:szCs w:val="24"/>
        </w:rPr>
        <w:t xml:space="preserve">Interim </w:t>
      </w:r>
      <w:r w:rsidR="00372B54"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4446B490" w:rsidR="00372B54" w:rsidRDefault="00372B54" w:rsidP="00372B54">
      <w:pPr>
        <w:spacing w:after="0" w:line="240" w:lineRule="auto"/>
        <w:rPr>
          <w:rFonts w:ascii="Verdana" w:hAnsi="Verdana" w:cs="Arial"/>
          <w:b/>
          <w:sz w:val="24"/>
          <w:szCs w:val="24"/>
        </w:rPr>
      </w:pPr>
    </w:p>
    <w:p w14:paraId="56B04F51" w14:textId="6C92C8B4" w:rsidR="00372B54" w:rsidRDefault="00372B54" w:rsidP="00372B54">
      <w:pPr>
        <w:spacing w:after="0" w:line="240" w:lineRule="auto"/>
        <w:rPr>
          <w:rFonts w:ascii="Verdana" w:hAnsi="Verdana" w:cs="Arial"/>
          <w:b/>
          <w:sz w:val="24"/>
          <w:szCs w:val="24"/>
        </w:rPr>
      </w:pPr>
    </w:p>
    <w:p w14:paraId="37491922" w14:textId="706BC862" w:rsidR="00372B54" w:rsidRDefault="00561FA1" w:rsidP="00372B54">
      <w:pPr>
        <w:spacing w:after="0" w:line="240" w:lineRule="auto"/>
        <w:rPr>
          <w:rFonts w:ascii="Verdana" w:hAnsi="Verdana" w:cs="Arial"/>
          <w:b/>
          <w:sz w:val="24"/>
          <w:szCs w:val="24"/>
        </w:rPr>
      </w:pPr>
      <w:r>
        <w:rPr>
          <w:rFonts w:ascii="Verdana" w:hAnsi="Verdana" w:cs="Arial"/>
          <w:b/>
          <w:noProof/>
          <w:sz w:val="24"/>
          <w:szCs w:val="24"/>
          <w:lang w:val="en-GB" w:eastAsia="en-GB"/>
        </w:rPr>
        <w:drawing>
          <wp:inline distT="0" distB="0" distL="0" distR="0" wp14:anchorId="1470DAB1" wp14:editId="48826BC7">
            <wp:extent cx="1256030" cy="494030"/>
            <wp:effectExtent l="0" t="0" r="127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6030" cy="494030"/>
                    </a:xfrm>
                    <a:prstGeom prst="rect">
                      <a:avLst/>
                    </a:prstGeom>
                    <a:noFill/>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756FB0D9" w:rsidR="007E59F6" w:rsidRPr="007E59F6" w:rsidRDefault="00372B54" w:rsidP="006213B0">
      <w:pPr>
        <w:spacing w:after="0" w:line="240" w:lineRule="auto"/>
        <w:rPr>
          <w:rFonts w:ascii="Verdana" w:hAnsi="Verdana" w:cs="Arial"/>
          <w:sz w:val="24"/>
          <w:szCs w:val="24"/>
        </w:rPr>
      </w:pPr>
      <w:r w:rsidRPr="00372B54">
        <w:rPr>
          <w:rFonts w:ascii="Verdana" w:hAnsi="Verdana" w:cs="Arial"/>
          <w:b/>
          <w:sz w:val="24"/>
          <w:szCs w:val="24"/>
        </w:rPr>
        <w:t>Chief Ambulance</w:t>
      </w:r>
      <w:r w:rsidR="005E59F9">
        <w:rPr>
          <w:rFonts w:ascii="Verdana" w:hAnsi="Verdana" w:cs="Arial"/>
          <w:b/>
          <w:sz w:val="24"/>
          <w:szCs w:val="24"/>
        </w:rPr>
        <w:t xml:space="preserve"> Services</w:t>
      </w:r>
      <w:r w:rsidRPr="00372B54">
        <w:rPr>
          <w:rFonts w:ascii="Verdana" w:hAnsi="Verdana" w:cs="Arial"/>
          <w:b/>
          <w:sz w:val="24"/>
          <w:szCs w:val="24"/>
        </w:rPr>
        <w:t xml:space="preserve"> Commissioner, EASC</w:t>
      </w:r>
    </w:p>
    <w:sectPr w:rsidR="007E59F6" w:rsidRPr="007E59F6" w:rsidSect="00BA1AF1">
      <w:headerReference w:type="default" r:id="rId17"/>
      <w:footerReference w:type="default" r:id="rId18"/>
      <w:headerReference w:type="first" r:id="rId19"/>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12B71A" w14:textId="77777777" w:rsidR="003F0AB2" w:rsidRDefault="003F0AB2" w:rsidP="003E43AD">
      <w:pPr>
        <w:spacing w:after="0" w:line="240" w:lineRule="auto"/>
      </w:pPr>
      <w:r>
        <w:separator/>
      </w:r>
    </w:p>
  </w:endnote>
  <w:endnote w:type="continuationSeparator" w:id="0">
    <w:p w14:paraId="4856888D" w14:textId="77777777" w:rsidR="003F0AB2" w:rsidRDefault="003F0AB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2307C4E5" w:rsidR="00344184" w:rsidRPr="00933C80" w:rsidRDefault="00C61733" w:rsidP="008078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807833">
            <w:rPr>
              <w:rFonts w:ascii="Verdana" w:hAnsi="Verdana"/>
              <w:b/>
              <w:sz w:val="18"/>
              <w:szCs w:val="20"/>
            </w:rPr>
            <w:t>4</w:t>
          </w:r>
          <w:r w:rsidR="005E59F9">
            <w:rPr>
              <w:rFonts w:ascii="Verdana" w:hAnsi="Verdana"/>
              <w:b/>
              <w:sz w:val="18"/>
              <w:szCs w:val="20"/>
            </w:rPr>
            <w:t xml:space="preserve"> </w:t>
          </w:r>
          <w:r w:rsidR="000C05DE">
            <w:rPr>
              <w:rFonts w:ascii="Verdana" w:hAnsi="Verdana"/>
              <w:b/>
              <w:sz w:val="18"/>
              <w:szCs w:val="20"/>
            </w:rPr>
            <w:t>2023/24</w:t>
          </w:r>
        </w:p>
      </w:tc>
      <w:tc>
        <w:tcPr>
          <w:tcW w:w="1980" w:type="dxa"/>
        </w:tcPr>
        <w:p w14:paraId="1DFCB9D6" w14:textId="5E30D6D9" w:rsidR="00344184" w:rsidRPr="00933C80" w:rsidRDefault="005E59F9"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807833">
                <w:rPr>
                  <w:rFonts w:ascii="Verdana" w:hAnsi="Verdana" w:cs="Arial"/>
                  <w:b/>
                  <w:bCs/>
                  <w:noProof/>
                  <w:sz w:val="18"/>
                  <w:szCs w:val="20"/>
                </w:rPr>
                <w:t>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807833">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4B3EF52D"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4950A746" w14:textId="7073D432" w:rsidR="005E59F9" w:rsidRPr="00933C80" w:rsidRDefault="005E59F9" w:rsidP="00344184">
          <w:pPr>
            <w:pStyle w:val="Footer"/>
            <w:jc w:val="right"/>
            <w:rPr>
              <w:rFonts w:ascii="Verdana" w:hAnsi="Verdana"/>
              <w:b/>
              <w:sz w:val="18"/>
              <w:szCs w:val="20"/>
            </w:rPr>
          </w:pPr>
          <w:r>
            <w:rPr>
              <w:rFonts w:ascii="Verdana" w:hAnsi="Verdana"/>
              <w:b/>
              <w:sz w:val="18"/>
              <w:szCs w:val="20"/>
            </w:rPr>
            <w:t>19 September 2023</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10683A" w14:textId="77777777" w:rsidR="003F0AB2" w:rsidRDefault="003F0AB2" w:rsidP="003E43AD">
      <w:pPr>
        <w:spacing w:after="0" w:line="240" w:lineRule="auto"/>
      </w:pPr>
      <w:r>
        <w:separator/>
      </w:r>
    </w:p>
  </w:footnote>
  <w:footnote w:type="continuationSeparator" w:id="0">
    <w:p w14:paraId="3716421C" w14:textId="77777777" w:rsidR="003F0AB2" w:rsidRDefault="003F0AB2"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AB325F2"/>
    <w:multiLevelType w:val="hybridMultilevel"/>
    <w:tmpl w:val="F1DC4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65A4F87"/>
    <w:multiLevelType w:val="multilevel"/>
    <w:tmpl w:val="F54C0E7C"/>
    <w:lvl w:ilvl="0">
      <w:start w:val="3"/>
      <w:numFmt w:val="decimal"/>
      <w:lvlText w:val="%1."/>
      <w:lvlJc w:val="left"/>
      <w:pPr>
        <w:ind w:left="360" w:hanging="360"/>
      </w:pPr>
      <w:rPr>
        <w:rFonts w:hint="default"/>
        <w:sz w:val="24"/>
        <w:szCs w:val="24"/>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6FB254E4"/>
    <w:multiLevelType w:val="multilevel"/>
    <w:tmpl w:val="AD02AD96"/>
    <w:lvl w:ilvl="0">
      <w:start w:val="2"/>
      <w:numFmt w:val="decimal"/>
      <w:lvlText w:val="%1."/>
      <w:lvlJc w:val="left"/>
      <w:pPr>
        <w:ind w:left="360" w:hanging="360"/>
      </w:pPr>
      <w:rPr>
        <w:rFonts w:hint="default"/>
      </w:rPr>
    </w:lvl>
    <w:lvl w:ilvl="1">
      <w:start w:val="4"/>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3"/>
  </w:num>
  <w:num w:numId="3">
    <w:abstractNumId w:val="21"/>
  </w:num>
  <w:num w:numId="4">
    <w:abstractNumId w:val="19"/>
  </w:num>
  <w:num w:numId="5">
    <w:abstractNumId w:val="9"/>
  </w:num>
  <w:num w:numId="6">
    <w:abstractNumId w:val="5"/>
  </w:num>
  <w:num w:numId="7">
    <w:abstractNumId w:val="10"/>
  </w:num>
  <w:num w:numId="8">
    <w:abstractNumId w:val="7"/>
  </w:num>
  <w:num w:numId="9">
    <w:abstractNumId w:val="2"/>
  </w:num>
  <w:num w:numId="10">
    <w:abstractNumId w:val="16"/>
  </w:num>
  <w:num w:numId="11">
    <w:abstractNumId w:val="3"/>
  </w:num>
  <w:num w:numId="12">
    <w:abstractNumId w:val="18"/>
  </w:num>
  <w:num w:numId="13">
    <w:abstractNumId w:val="12"/>
  </w:num>
  <w:num w:numId="14">
    <w:abstractNumId w:val="14"/>
  </w:num>
  <w:num w:numId="15">
    <w:abstractNumId w:val="0"/>
  </w:num>
  <w:num w:numId="16">
    <w:abstractNumId w:val="4"/>
  </w:num>
  <w:num w:numId="17">
    <w:abstractNumId w:val="17"/>
  </w:num>
  <w:num w:numId="18">
    <w:abstractNumId w:val="13"/>
  </w:num>
  <w:num w:numId="19">
    <w:abstractNumId w:val="15"/>
  </w:num>
  <w:num w:numId="20">
    <w:abstractNumId w:val="22"/>
  </w:num>
  <w:num w:numId="21">
    <w:abstractNumId w:val="6"/>
  </w:num>
  <w:num w:numId="22">
    <w:abstractNumId w:val="20"/>
  </w:num>
  <w:num w:numId="23">
    <w:abstractNumId w:val="11"/>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14565"/>
    <w:rsid w:val="00025FE7"/>
    <w:rsid w:val="0003001C"/>
    <w:rsid w:val="00034B97"/>
    <w:rsid w:val="0004277A"/>
    <w:rsid w:val="00063FCF"/>
    <w:rsid w:val="000804F4"/>
    <w:rsid w:val="00081198"/>
    <w:rsid w:val="00081F19"/>
    <w:rsid w:val="00082004"/>
    <w:rsid w:val="00097B17"/>
    <w:rsid w:val="000A14EC"/>
    <w:rsid w:val="000B4302"/>
    <w:rsid w:val="000C05DE"/>
    <w:rsid w:val="000C1B75"/>
    <w:rsid w:val="000D248E"/>
    <w:rsid w:val="000D6153"/>
    <w:rsid w:val="000F26AC"/>
    <w:rsid w:val="001028EC"/>
    <w:rsid w:val="001041A8"/>
    <w:rsid w:val="001468E1"/>
    <w:rsid w:val="001471D6"/>
    <w:rsid w:val="001500B9"/>
    <w:rsid w:val="001507F6"/>
    <w:rsid w:val="001750A0"/>
    <w:rsid w:val="00183FCB"/>
    <w:rsid w:val="0019519C"/>
    <w:rsid w:val="00196998"/>
    <w:rsid w:val="001B439D"/>
    <w:rsid w:val="001C7A2E"/>
    <w:rsid w:val="001D08F5"/>
    <w:rsid w:val="001D13AB"/>
    <w:rsid w:val="001D4906"/>
    <w:rsid w:val="001D6AD7"/>
    <w:rsid w:val="001E4A64"/>
    <w:rsid w:val="001E4F67"/>
    <w:rsid w:val="00223C86"/>
    <w:rsid w:val="002338B8"/>
    <w:rsid w:val="00250286"/>
    <w:rsid w:val="0025429D"/>
    <w:rsid w:val="00261366"/>
    <w:rsid w:val="00265AAD"/>
    <w:rsid w:val="00281D69"/>
    <w:rsid w:val="002839C3"/>
    <w:rsid w:val="002B1C2D"/>
    <w:rsid w:val="002B5D2A"/>
    <w:rsid w:val="002C0A4A"/>
    <w:rsid w:val="002D02D2"/>
    <w:rsid w:val="002F3A0D"/>
    <w:rsid w:val="002F5BA1"/>
    <w:rsid w:val="00301F07"/>
    <w:rsid w:val="00304120"/>
    <w:rsid w:val="00314BC7"/>
    <w:rsid w:val="003169A9"/>
    <w:rsid w:val="00321145"/>
    <w:rsid w:val="003253AD"/>
    <w:rsid w:val="00325A46"/>
    <w:rsid w:val="00344184"/>
    <w:rsid w:val="00345653"/>
    <w:rsid w:val="00345EE2"/>
    <w:rsid w:val="003718C6"/>
    <w:rsid w:val="00372550"/>
    <w:rsid w:val="00372B54"/>
    <w:rsid w:val="0037678E"/>
    <w:rsid w:val="00380B51"/>
    <w:rsid w:val="003C4CCD"/>
    <w:rsid w:val="003C5D58"/>
    <w:rsid w:val="003E2FB0"/>
    <w:rsid w:val="003E43AD"/>
    <w:rsid w:val="003E5725"/>
    <w:rsid w:val="003F0AB2"/>
    <w:rsid w:val="003F40A1"/>
    <w:rsid w:val="0041542C"/>
    <w:rsid w:val="004508F5"/>
    <w:rsid w:val="0046035B"/>
    <w:rsid w:val="0046155C"/>
    <w:rsid w:val="00463B6C"/>
    <w:rsid w:val="00493CD8"/>
    <w:rsid w:val="004A1B43"/>
    <w:rsid w:val="004A2F2B"/>
    <w:rsid w:val="004A3AE2"/>
    <w:rsid w:val="004A60FB"/>
    <w:rsid w:val="004B1B0B"/>
    <w:rsid w:val="004C7B5E"/>
    <w:rsid w:val="004D4D0B"/>
    <w:rsid w:val="004D68E1"/>
    <w:rsid w:val="004F3890"/>
    <w:rsid w:val="004F6AB9"/>
    <w:rsid w:val="0050158E"/>
    <w:rsid w:val="00510740"/>
    <w:rsid w:val="00515B4C"/>
    <w:rsid w:val="00543056"/>
    <w:rsid w:val="00547FA5"/>
    <w:rsid w:val="005559F3"/>
    <w:rsid w:val="00561FA1"/>
    <w:rsid w:val="00576A6B"/>
    <w:rsid w:val="00577535"/>
    <w:rsid w:val="005802A6"/>
    <w:rsid w:val="005848A6"/>
    <w:rsid w:val="00594A95"/>
    <w:rsid w:val="005A0836"/>
    <w:rsid w:val="005A0E27"/>
    <w:rsid w:val="005C0676"/>
    <w:rsid w:val="005E14D3"/>
    <w:rsid w:val="005E1C50"/>
    <w:rsid w:val="005E59F9"/>
    <w:rsid w:val="005F08E9"/>
    <w:rsid w:val="005F7CB1"/>
    <w:rsid w:val="00612035"/>
    <w:rsid w:val="006147EB"/>
    <w:rsid w:val="006213B0"/>
    <w:rsid w:val="00623494"/>
    <w:rsid w:val="0063445E"/>
    <w:rsid w:val="00634623"/>
    <w:rsid w:val="00652117"/>
    <w:rsid w:val="006523EE"/>
    <w:rsid w:val="00653C04"/>
    <w:rsid w:val="006617E2"/>
    <w:rsid w:val="006733AE"/>
    <w:rsid w:val="00674E5D"/>
    <w:rsid w:val="00675E1B"/>
    <w:rsid w:val="006766DA"/>
    <w:rsid w:val="006802A0"/>
    <w:rsid w:val="00684FB3"/>
    <w:rsid w:val="00692CA3"/>
    <w:rsid w:val="00693A89"/>
    <w:rsid w:val="0069470A"/>
    <w:rsid w:val="006964F1"/>
    <w:rsid w:val="006A3CE4"/>
    <w:rsid w:val="006A582D"/>
    <w:rsid w:val="006A60C7"/>
    <w:rsid w:val="006A7DA6"/>
    <w:rsid w:val="006B1F5F"/>
    <w:rsid w:val="006B31A3"/>
    <w:rsid w:val="006C3C79"/>
    <w:rsid w:val="006C4A3E"/>
    <w:rsid w:val="006C53DA"/>
    <w:rsid w:val="006D7D02"/>
    <w:rsid w:val="006E2B09"/>
    <w:rsid w:val="00722A5A"/>
    <w:rsid w:val="00723BF8"/>
    <w:rsid w:val="00727C00"/>
    <w:rsid w:val="0073656F"/>
    <w:rsid w:val="00737E25"/>
    <w:rsid w:val="00747CDC"/>
    <w:rsid w:val="00750FBA"/>
    <w:rsid w:val="007563F7"/>
    <w:rsid w:val="00757E24"/>
    <w:rsid w:val="007724F5"/>
    <w:rsid w:val="00792D7A"/>
    <w:rsid w:val="0079542C"/>
    <w:rsid w:val="007B2006"/>
    <w:rsid w:val="007B2F89"/>
    <w:rsid w:val="007C0506"/>
    <w:rsid w:val="007D0B6E"/>
    <w:rsid w:val="007D3C6E"/>
    <w:rsid w:val="007E59F6"/>
    <w:rsid w:val="007F0937"/>
    <w:rsid w:val="00806C55"/>
    <w:rsid w:val="00807833"/>
    <w:rsid w:val="00816502"/>
    <w:rsid w:val="00822A00"/>
    <w:rsid w:val="0083034D"/>
    <w:rsid w:val="0084048A"/>
    <w:rsid w:val="008508A8"/>
    <w:rsid w:val="008528BF"/>
    <w:rsid w:val="00861CE5"/>
    <w:rsid w:val="008624A1"/>
    <w:rsid w:val="00863779"/>
    <w:rsid w:val="008641AF"/>
    <w:rsid w:val="0086552E"/>
    <w:rsid w:val="008713AB"/>
    <w:rsid w:val="00875943"/>
    <w:rsid w:val="008A226A"/>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2796"/>
    <w:rsid w:val="009B6215"/>
    <w:rsid w:val="009E01CA"/>
    <w:rsid w:val="009E0D95"/>
    <w:rsid w:val="009E7621"/>
    <w:rsid w:val="009F759D"/>
    <w:rsid w:val="00A167AC"/>
    <w:rsid w:val="00A3172B"/>
    <w:rsid w:val="00A5085F"/>
    <w:rsid w:val="00A51464"/>
    <w:rsid w:val="00A72602"/>
    <w:rsid w:val="00A82F50"/>
    <w:rsid w:val="00A839D2"/>
    <w:rsid w:val="00A8686B"/>
    <w:rsid w:val="00AD63D9"/>
    <w:rsid w:val="00B03E75"/>
    <w:rsid w:val="00B05FE3"/>
    <w:rsid w:val="00B13942"/>
    <w:rsid w:val="00B276ED"/>
    <w:rsid w:val="00B33FC6"/>
    <w:rsid w:val="00B372FE"/>
    <w:rsid w:val="00B55F24"/>
    <w:rsid w:val="00B6264F"/>
    <w:rsid w:val="00B62DCA"/>
    <w:rsid w:val="00B7127B"/>
    <w:rsid w:val="00BA0224"/>
    <w:rsid w:val="00BA1AF1"/>
    <w:rsid w:val="00BA50AA"/>
    <w:rsid w:val="00BA782F"/>
    <w:rsid w:val="00BC4407"/>
    <w:rsid w:val="00BC57F3"/>
    <w:rsid w:val="00BF4525"/>
    <w:rsid w:val="00C044D6"/>
    <w:rsid w:val="00C41ADC"/>
    <w:rsid w:val="00C41AFC"/>
    <w:rsid w:val="00C45E2D"/>
    <w:rsid w:val="00C52F2D"/>
    <w:rsid w:val="00C60197"/>
    <w:rsid w:val="00C61733"/>
    <w:rsid w:val="00C93DE6"/>
    <w:rsid w:val="00CA374F"/>
    <w:rsid w:val="00CA40F1"/>
    <w:rsid w:val="00CA5DD0"/>
    <w:rsid w:val="00CA75B5"/>
    <w:rsid w:val="00CB484F"/>
    <w:rsid w:val="00CB7C5C"/>
    <w:rsid w:val="00CB7D49"/>
    <w:rsid w:val="00CC5E15"/>
    <w:rsid w:val="00CC6203"/>
    <w:rsid w:val="00CE2C60"/>
    <w:rsid w:val="00CE462C"/>
    <w:rsid w:val="00CE60B2"/>
    <w:rsid w:val="00D009F6"/>
    <w:rsid w:val="00D03A9E"/>
    <w:rsid w:val="00D149FF"/>
    <w:rsid w:val="00D221CF"/>
    <w:rsid w:val="00D227B8"/>
    <w:rsid w:val="00D461AA"/>
    <w:rsid w:val="00D50D29"/>
    <w:rsid w:val="00D5250D"/>
    <w:rsid w:val="00D531C1"/>
    <w:rsid w:val="00D56A79"/>
    <w:rsid w:val="00D61B13"/>
    <w:rsid w:val="00D81EAE"/>
    <w:rsid w:val="00D95498"/>
    <w:rsid w:val="00DA7EF2"/>
    <w:rsid w:val="00DB7FCB"/>
    <w:rsid w:val="00DC0AB8"/>
    <w:rsid w:val="00DC3B4C"/>
    <w:rsid w:val="00DE1B38"/>
    <w:rsid w:val="00DE41C2"/>
    <w:rsid w:val="00E03A3A"/>
    <w:rsid w:val="00E14B00"/>
    <w:rsid w:val="00E23B12"/>
    <w:rsid w:val="00E27E10"/>
    <w:rsid w:val="00E355DB"/>
    <w:rsid w:val="00E55D6E"/>
    <w:rsid w:val="00E62C72"/>
    <w:rsid w:val="00E63380"/>
    <w:rsid w:val="00E65705"/>
    <w:rsid w:val="00E65B21"/>
    <w:rsid w:val="00E7564A"/>
    <w:rsid w:val="00E90D9F"/>
    <w:rsid w:val="00E961C0"/>
    <w:rsid w:val="00EA2A29"/>
    <w:rsid w:val="00EA7C24"/>
    <w:rsid w:val="00EB08D6"/>
    <w:rsid w:val="00EC35CA"/>
    <w:rsid w:val="00EC5D56"/>
    <w:rsid w:val="00EE4BD0"/>
    <w:rsid w:val="00F01092"/>
    <w:rsid w:val="00F0299C"/>
    <w:rsid w:val="00F16CE6"/>
    <w:rsid w:val="00F36769"/>
    <w:rsid w:val="00F465D0"/>
    <w:rsid w:val="00F83D60"/>
    <w:rsid w:val="00F9202B"/>
    <w:rsid w:val="00FB37F0"/>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27945517">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cid:image002.jpg@01D94DC7.8CA2CB10"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418E1"/>
    <w:rsid w:val="003D75CF"/>
    <w:rsid w:val="00553C83"/>
    <w:rsid w:val="00790E03"/>
    <w:rsid w:val="007975EA"/>
    <w:rsid w:val="007C7A58"/>
    <w:rsid w:val="008B111D"/>
    <w:rsid w:val="009347DC"/>
    <w:rsid w:val="00976948"/>
    <w:rsid w:val="00A315F4"/>
    <w:rsid w:val="00AB391E"/>
    <w:rsid w:val="00B24355"/>
    <w:rsid w:val="00B52E4B"/>
    <w:rsid w:val="00C029D9"/>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4" ma:contentTypeDescription="Create a new document." ma:contentTypeScope="" ma:versionID="13f4164738b17a9713f82c02748b1e0d">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be80f0aa558d03796b0d3d5400db4fc6"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FBBACB-699F-4002-ADC1-8FF52B53E8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www.w3.org/XML/1998/namespace"/>
    <ds:schemaRef ds:uri="71e02f92-f1f1-4089-9b78-0fe9c0d669ad"/>
    <ds:schemaRef ds:uri="http://schemas.microsoft.com/office/infopath/2007/PartnerControls"/>
    <ds:schemaRef ds:uri="1d0bafc6-86fe-4c88-8f3c-e0496537464d"/>
    <ds:schemaRef ds:uri="http://purl.org/dc/terms/"/>
  </ds:schemaRefs>
</ds:datastoreItem>
</file>

<file path=customXml/itemProps4.xml><?xml version="1.0" encoding="utf-8"?>
<ds:datastoreItem xmlns:ds="http://schemas.openxmlformats.org/officeDocument/2006/customXml" ds:itemID="{4F527118-82F2-4A2C-AF87-AC57DABD6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Pages>
  <Words>1072</Words>
  <Characters>6112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3</cp:revision>
  <cp:lastPrinted>2018-09-26T14:48:00Z</cp:lastPrinted>
  <dcterms:created xsi:type="dcterms:W3CDTF">2023-09-12T17:09:00Z</dcterms:created>
  <dcterms:modified xsi:type="dcterms:W3CDTF">2023-09-13T07:45:00Z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